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Futura Condensed ExtraBold" w:cs="Futura Condensed ExtraBold" w:eastAsia="Futura Condensed ExtraBold" w:hAnsi="Futura Condensed ExtraBold"/>
          <w:sz w:val="40"/>
          <w:szCs w:val="40"/>
        </w:rPr>
        <w:t xml:space="preserve">The Common Tone Project</w:t>
      </w:r>
    </w:p>
    <w:p>
      <w:pPr>
        <w:pStyle w:val="Normal"/>
      </w:pPr>
      <w:r>
        <w:rPr>
          <w:rFonts w:ascii="Gill Sans" w:cs="Gill Sans" w:eastAsia="Gill Sans" w:hAnsi="Gill Sans"/>
          <w:i/>
          <w:iCs/>
          <w:sz w:val="22"/>
          <w:szCs w:val="22"/>
        </w:rPr>
        <w:t xml:space="preserve">An overview for non-technical readers</w:t>
      </w:r>
    </w:p>
    <w:p>
      <w:pPr>
        <w:pStyle w:val="Heading2"/>
      </w:pPr>
      <w:r>
        <w:rPr>
          <w:rFonts w:ascii="Futura Condensed ExtraBold" w:cs="Futura Condensed ExtraBold" w:eastAsia="Futura Condensed ExtraBold" w:hAnsi="Futura Condensed ExtraBold"/>
          <w:sz w:val="32"/>
          <w:szCs w:val="32"/>
        </w:rPr>
        <w:t xml:space="preserve">What this is</w:t>
      </w:r>
    </w:p>
    <w:p>
      <w:pPr>
        <w:pStyle w:val="Normal"/>
      </w:pPr>
      <w:r>
        <w:rPr>
          <w:rFonts w:ascii="Gill Sans" w:cs="Gill Sans" w:eastAsia="Gill Sans" w:hAnsi="Gill Sans"/>
          <w:sz w:val="22"/>
          <w:szCs w:val="22"/>
        </w:rPr>
        <w:t xml:space="preserve">The Common Tone Project is the research library behind a popular-music-theory textbook I'm writing, called </w:t>
      </w:r>
      <w:r>
        <w:rPr>
          <w:rFonts w:ascii="Gill Sans" w:cs="Gill Sans" w:eastAsia="Gill Sans" w:hAnsi="Gill Sans"/>
          <w:b/>
          <w:bCs/>
          <w:sz w:val="22"/>
          <w:szCs w:val="22"/>
        </w:rPr>
        <w:t xml:space="preserve">The Sound and the Theory</w:t>
      </w:r>
      <w:r>
        <w:rPr>
          <w:rFonts w:ascii="Gill Sans" w:cs="Gill Sans" w:eastAsia="Gill Sans" w:hAnsi="Gill Sans"/>
          <w:sz w:val="22"/>
          <w:szCs w:val="22"/>
        </w:rPr>
        <w:t xml:space="preserve">. The book is the visible tip; the rest of the iceberg is a digital vault I've been building in parallel — one that supports every chapter, every claim, and every musical example the book points to.</w:t>
      </w:r>
    </w:p>
    <w:p>
      <w:pPr>
        <w:pStyle w:val="Normal"/>
      </w:pPr>
      <w:r>
        <w:rPr>
          <w:rFonts w:ascii="Gill Sans" w:cs="Gill Sans" w:eastAsia="Gill Sans" w:hAnsi="Gill Sans"/>
          <w:sz w:val="22"/>
          <w:szCs w:val="22"/>
        </w:rPr>
        <w:t xml:space="preserve">The ambition is simple to state and unusual to execute: take the serious music-theory apparatus usually reserved for Bach chorales and Beethoven sonatas, and turn it on the music people actually listen to — Beatles, Motown, Coltrane, Joni Mitchell, Radiohead, Kendrick Lamar, Björk. Do it with real rigor. Make it beautiful. Keep my voice in the room.</w:t>
      </w:r>
    </w:p>
    <w:p>
      <w:pPr>
        <w:pStyle w:val="Normal"/>
      </w:pPr>
      <w:r>
        <w:rPr>
          <w:rFonts w:ascii="Gill Sans" w:cs="Gill Sans" w:eastAsia="Gill Sans" w:hAnsi="Gill Sans"/>
          <w:sz w:val="22"/>
          <w:szCs w:val="22"/>
        </w:rPr>
        <w:t xml:space="preserve">The vault is how that ambition stays honest. Every idea in the book can be traced backward to a source, sideways to a song, and forward to wherever else it appears. Nothing floats.</w:t>
      </w:r>
    </w:p>
    <w:p>
      <w:pPr>
        <w:pStyle w:val="Heading2"/>
      </w:pPr>
      <w:r>
        <w:rPr>
          <w:rFonts w:ascii="Futura Condensed ExtraBold" w:cs="Futura Condensed ExtraBold" w:eastAsia="Futura Condensed ExtraBold" w:hAnsi="Futura Condensed ExtraBold"/>
          <w:sz w:val="32"/>
          <w:szCs w:val="32"/>
        </w:rPr>
        <w:t xml:space="preserve">The shape of the thing, in numbers</w:t>
      </w:r>
    </w:p>
    <w:p>
      <w:pPr>
        <w:pStyle w:val="Normal"/>
      </w:pPr>
      <w:r>
        <w:rPr>
          <w:rFonts w:ascii="Gill Sans" w:cs="Gill Sans" w:eastAsia="Gill Sans" w:hAnsi="Gill Sans"/>
          <w:sz w:val="22"/>
          <w:szCs w:val="22"/>
        </w:rPr>
        <w:t xml:space="preserve">Before the tour, a look at the scale — because the interesting question isn't “is there enough material,” it's “how is it organized.”</w:t>
      </w:r>
    </w:p>
    <w:p>
      <w:pPr>
        <w:spacing w:after="12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95675"/>
                    </a:xfrm>
                    <a:prstGeom prst="rect">
                      <a:avLst/>
                    </a:prstGeom>
                  </pic:spPr>
                </pic:pic>
              </a:graphicData>
            </a:graphic>
          </wp:inline>
        </w:drawing>
      </w:r>
    </w:p>
    <w:p>
      <w:pPr>
        <w:pStyle w:val="Normal"/>
        <w:jc w:val="center"/>
      </w:pPr>
      <w:r>
        <w:rPr>
          <w:rFonts w:ascii="Gill Sans" w:cs="Gill Sans" w:eastAsia="Gill Sans" w:hAnsi="Gill Sans"/>
          <w:i/>
          <w:iCs/>
          <w:color w:val="666666"/>
          <w:sz w:val="20"/>
          <w:szCs w:val="20"/>
        </w:rPr>
        <w:t xml:space="preserve">Figure 1 — The Vault by the Numbers</w:t>
      </w:r>
    </w:p>
    <w:p>
      <w:pPr>
        <w:pStyle w:val="Normal"/>
      </w:pPr>
      <w:r>
        <w:rPr>
          <w:rFonts w:ascii="Gill Sans" w:cs="Gill Sans" w:eastAsia="Gill Sans" w:hAnsi="Gill Sans"/>
          <w:sz w:val="22"/>
          <w:szCs w:val="22"/>
        </w:rPr>
        <w:t xml:space="preserve">A few things worth noticing here. The Harmony bar is the longest for a reason — harmony is where popular music does its most interesting work, and the book leans into that weight. Song coverage is roughly ten-to-one against concept coverage, which is intentional: every idea in the book should have many examples to pick from, not one. And the concept breakdown maps almost exactly onto the book's table of contents, so the research and the pedagogy reinforce each other instead of drifting apart.</w:t>
      </w:r>
    </w:p>
    <w:p>
      <w:pPr>
        <w:pStyle w:val="Heading2"/>
      </w:pPr>
      <w:r>
        <w:rPr>
          <w:rFonts w:ascii="Futura Condensed ExtraBold" w:cs="Futura Condensed ExtraBold" w:eastAsia="Futura Condensed ExtraBold" w:hAnsi="Futura Condensed ExtraBold"/>
          <w:sz w:val="32"/>
          <w:szCs w:val="32"/>
        </w:rPr>
        <w:t xml:space="preserve">What's inside the vault</w:t>
      </w:r>
    </w:p>
    <w:p>
      <w:pPr>
        <w:pStyle w:val="Normal"/>
      </w:pPr>
      <w:r>
        <w:rPr>
          <w:rFonts w:ascii="Gill Sans" w:cs="Gill Sans" w:eastAsia="Gill Sans" w:hAnsi="Gill Sans"/>
          <w:sz w:val="22"/>
          <w:szCs w:val="22"/>
        </w:rPr>
        <w:t xml:space="preserve">The vault is organized into four layers that all talk to one another.</w:t>
      </w:r>
    </w:p>
    <w:p>
      <w:pPr>
        <w:spacing w:after="12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pStyle w:val="Normal"/>
        <w:jc w:val="center"/>
      </w:pPr>
      <w:r>
        <w:rPr>
          <w:rFonts w:ascii="Gill Sans" w:cs="Gill Sans" w:eastAsia="Gill Sans" w:hAnsi="Gill Sans"/>
          <w:i/>
          <w:iCs/>
          <w:color w:val="666666"/>
          <w:sz w:val="20"/>
          <w:szCs w:val="20"/>
        </w:rPr>
        <w:t xml:space="preserve">Figure 2 — The Four Layers of the Vault</w:t>
      </w:r>
    </w:p>
    <w:p>
      <w:pPr>
        <w:pStyle w:val="Normal"/>
      </w:pPr>
      <w:r>
        <w:rPr>
          <w:rFonts w:ascii="Gill Sans" w:cs="Gill Sans" w:eastAsia="Gill Sans" w:hAnsi="Gill Sans"/>
          <w:b/>
          <w:bCs/>
          <w:sz w:val="22"/>
          <w:szCs w:val="22"/>
        </w:rPr>
        <w:t xml:space="preserve">The Book (Chapter Drafts). </w:t>
      </w:r>
      <w:r>
        <w:rPr>
          <w:rFonts w:ascii="Gill Sans" w:cs="Gill Sans" w:eastAsia="Gill Sans" w:hAnsi="Gill Sans"/>
          <w:sz w:val="22"/>
          <w:szCs w:val="22"/>
        </w:rPr>
        <w:t xml:space="preserve">Thirty-four chapter files across four units — </w:t>
      </w:r>
      <w:r>
        <w:rPr>
          <w:rFonts w:ascii="Gill Sans" w:cs="Gill Sans" w:eastAsia="Gill Sans" w:hAnsi="Gill Sans"/>
          <w:i/>
          <w:iCs/>
          <w:sz w:val="22"/>
          <w:szCs w:val="22"/>
        </w:rPr>
        <w:t xml:space="preserve">Fundamentals</w:t>
      </w:r>
      <w:r>
        <w:rPr>
          <w:rFonts w:ascii="Gill Sans" w:cs="Gill Sans" w:eastAsia="Gill Sans" w:hAnsi="Gill Sans"/>
          <w:sz w:val="22"/>
          <w:szCs w:val="22"/>
        </w:rPr>
        <w:t xml:space="preserve">, </w:t>
      </w:r>
      <w:r>
        <w:rPr>
          <w:rFonts w:ascii="Gill Sans" w:cs="Gill Sans" w:eastAsia="Gill Sans" w:hAnsi="Gill Sans"/>
          <w:i/>
          <w:iCs/>
          <w:sz w:val="22"/>
          <w:szCs w:val="22"/>
        </w:rPr>
        <w:t xml:space="preserve">Diatonic Practice</w:t>
      </w:r>
      <w:r>
        <w:rPr>
          <w:rFonts w:ascii="Gill Sans" w:cs="Gill Sans" w:eastAsia="Gill Sans" w:hAnsi="Gill Sans"/>
          <w:sz w:val="22"/>
          <w:szCs w:val="22"/>
        </w:rPr>
        <w:t xml:space="preserve">, </w:t>
      </w:r>
      <w:r>
        <w:rPr>
          <w:rFonts w:ascii="Gill Sans" w:cs="Gill Sans" w:eastAsia="Gill Sans" w:hAnsi="Gill Sans"/>
          <w:i/>
          <w:iCs/>
          <w:sz w:val="22"/>
          <w:szCs w:val="22"/>
        </w:rPr>
        <w:t xml:space="preserve">Chromatic Practice</w:t>
      </w:r>
      <w:r>
        <w:rPr>
          <w:rFonts w:ascii="Gill Sans" w:cs="Gill Sans" w:eastAsia="Gill Sans" w:hAnsi="Gill Sans"/>
          <w:sz w:val="22"/>
          <w:szCs w:val="22"/>
        </w:rPr>
        <w:t xml:space="preserve">, </w:t>
      </w:r>
      <w:r>
        <w:rPr>
          <w:rFonts w:ascii="Gill Sans" w:cs="Gill Sans" w:eastAsia="Gill Sans" w:hAnsi="Gill Sans"/>
          <w:i/>
          <w:iCs/>
          <w:sz w:val="22"/>
          <w:szCs w:val="22"/>
        </w:rPr>
        <w:t xml:space="preserve">Advanced Concepts</w:t>
      </w:r>
      <w:r>
        <w:rPr>
          <w:rFonts w:ascii="Gill Sans" w:cs="Gill Sans" w:eastAsia="Gill Sans" w:hAnsi="Gill Sans"/>
          <w:sz w:val="22"/>
          <w:szCs w:val="22"/>
        </w:rPr>
        <w:t xml:space="preserve">. These are the public-facing prose, written the way I'd teach it in a room: plain-spoken, a little wry, and without the pretense that the music belongs in a glass case.</w:t>
      </w:r>
    </w:p>
    <w:p>
      <w:pPr>
        <w:pStyle w:val="Normal"/>
      </w:pPr>
      <w:r>
        <w:rPr>
          <w:rFonts w:ascii="Gill Sans" w:cs="Gill Sans" w:eastAsia="Gill Sans" w:hAnsi="Gill Sans"/>
          <w:b/>
          <w:bCs/>
          <w:sz w:val="22"/>
          <w:szCs w:val="22"/>
        </w:rPr>
        <w:t xml:space="preserve">Concepts. </w:t>
      </w:r>
      <w:r>
        <w:rPr>
          <w:rFonts w:ascii="Gill Sans" w:cs="Gill Sans" w:eastAsia="Gill Sans" w:hAnsi="Gill Sans"/>
          <w:sz w:val="22"/>
          <w:szCs w:val="22"/>
        </w:rPr>
        <w:t xml:space="preserve">631 entries, each one a single music-theory idea — a chord type, a progression, a voice-leading habit, a rhythmic feel. They range from textbook-standard (</w:t>
      </w:r>
      <w:r>
        <w:rPr>
          <w:rFonts w:ascii="Gill Sans" w:cs="Gill Sans" w:eastAsia="Gill Sans" w:hAnsi="Gill Sans"/>
          <w:i/>
          <w:iCs/>
          <w:sz w:val="22"/>
          <w:szCs w:val="22"/>
        </w:rPr>
        <w:t xml:space="preserve">Suspended Chords</w:t>
      </w:r>
      <w:r>
        <w:rPr>
          <w:rFonts w:ascii="Gill Sans" w:cs="Gill Sans" w:eastAsia="Gill Sans" w:hAnsi="Gill Sans"/>
          <w:sz w:val="22"/>
          <w:szCs w:val="22"/>
        </w:rPr>
        <w:t xml:space="preserve">, </w:t>
      </w:r>
      <w:r>
        <w:rPr>
          <w:rFonts w:ascii="Gill Sans" w:cs="Gill Sans" w:eastAsia="Gill Sans" w:hAnsi="Gill Sans"/>
          <w:i/>
          <w:iCs/>
          <w:sz w:val="22"/>
          <w:szCs w:val="22"/>
        </w:rPr>
        <w:t xml:space="preserve">Voiceleading</w:t>
      </w:r>
      <w:r>
        <w:rPr>
          <w:rFonts w:ascii="Gill Sans" w:cs="Gill Sans" w:eastAsia="Gill Sans" w:hAnsi="Gill Sans"/>
          <w:sz w:val="22"/>
          <w:szCs w:val="22"/>
        </w:rPr>
        <w:t xml:space="preserve">, </w:t>
      </w:r>
      <w:r>
        <w:rPr>
          <w:rFonts w:ascii="Gill Sans" w:cs="Gill Sans" w:eastAsia="Gill Sans" w:hAnsi="Gill Sans"/>
          <w:i/>
          <w:iCs/>
          <w:sz w:val="22"/>
          <w:szCs w:val="22"/>
        </w:rPr>
        <w:t xml:space="preserve">Roman Numeral Analysis</w:t>
      </w:r>
      <w:r>
        <w:rPr>
          <w:rFonts w:ascii="Gill Sans" w:cs="Gill Sans" w:eastAsia="Gill Sans" w:hAnsi="Gill Sans"/>
          <w:sz w:val="22"/>
          <w:szCs w:val="22"/>
        </w:rPr>
        <w:t xml:space="preserve">) to original contributions like the </w:t>
      </w:r>
      <w:r>
        <w:rPr>
          <w:rFonts w:ascii="Gill Sans" w:cs="Gill Sans" w:eastAsia="Gill Sans" w:hAnsi="Gill Sans"/>
          <w:i/>
          <w:iCs/>
          <w:sz w:val="22"/>
          <w:szCs w:val="22"/>
        </w:rPr>
        <w:t xml:space="preserve">Stuttering ii–V Pattern</w:t>
      </w:r>
      <w:r>
        <w:rPr>
          <w:rFonts w:ascii="Gill Sans" w:cs="Gill Sans" w:eastAsia="Gill Sans" w:hAnsi="Gill Sans"/>
          <w:sz w:val="22"/>
          <w:szCs w:val="22"/>
        </w:rPr>
        <w:t xml:space="preserve">, a harmonic idea I developed and then corroborated by querying a 124,000-chord research corpus.</w:t>
      </w:r>
    </w:p>
    <w:p>
      <w:pPr>
        <w:pStyle w:val="Normal"/>
      </w:pPr>
      <w:r>
        <w:rPr>
          <w:rFonts w:ascii="Gill Sans" w:cs="Gill Sans" w:eastAsia="Gill Sans" w:hAnsi="Gill Sans"/>
          <w:b/>
          <w:bCs/>
          <w:sz w:val="22"/>
          <w:szCs w:val="22"/>
        </w:rPr>
        <w:t xml:space="preserve">Repertoire. </w:t>
      </w:r>
      <w:r>
        <w:rPr>
          <w:rFonts w:ascii="Gill Sans" w:cs="Gill Sans" w:eastAsia="Gill Sans" w:hAnsi="Gill Sans"/>
          <w:sz w:val="22"/>
          <w:szCs w:val="22"/>
        </w:rPr>
        <w:t xml:space="preserve">6,300+ individual song entries, each naming the artist, year, key, form, and a set of theoretical tags. This is the living anthology the textbook draws from — any time the book needs to show, rather than tell, it reaches into here.</w:t>
      </w:r>
    </w:p>
    <w:p>
      <w:pPr>
        <w:pStyle w:val="Normal"/>
      </w:pPr>
      <w:r>
        <w:rPr>
          <w:rFonts w:ascii="Gill Sans" w:cs="Gill Sans" w:eastAsia="Gill Sans" w:hAnsi="Gill Sans"/>
          <w:b/>
          <w:bCs/>
          <w:sz w:val="22"/>
          <w:szCs w:val="22"/>
        </w:rPr>
        <w:t xml:space="preserve">External Sources. </w:t>
      </w:r>
      <w:r>
        <w:rPr>
          <w:rFonts w:ascii="Gill Sans" w:cs="Gill Sans" w:eastAsia="Gill Sans" w:hAnsi="Gill Sans"/>
          <w:sz w:val="22"/>
          <w:szCs w:val="22"/>
        </w:rPr>
        <w:t xml:space="preserve">Notes and excerpts from the scholarly literature, digested into the vault so their ideas can be referenced the same way a song can. The heavy hitters: Walter Everett on the Beatles (36 entries), the full </w:t>
      </w:r>
      <w:r>
        <w:rPr>
          <w:rFonts w:ascii="Gill Sans" w:cs="Gill Sans" w:eastAsia="Gill Sans" w:hAnsi="Gill Sans"/>
          <w:i/>
          <w:iCs/>
          <w:sz w:val="22"/>
          <w:szCs w:val="22"/>
        </w:rPr>
        <w:t xml:space="preserve">Open Music Theory</w:t>
      </w:r>
      <w:r>
        <w:rPr>
          <w:rFonts w:ascii="Gill Sans" w:cs="Gill Sans" w:eastAsia="Gill Sans" w:hAnsi="Gill Sans"/>
          <w:sz w:val="22"/>
          <w:szCs w:val="22"/>
        </w:rPr>
        <w:t xml:space="preserve"> textbook (134 entries), Catherine Schmidt-Jones' music primers (42), Philip Tagg on popular-music semiotics (13), plus Allan Moore, John Covach, Drew Nobile, William Caplin, Kevin Holm-Hudson, David Bennett, Alan Belkin, Jeremy Krerowicz, and others — roughly a dozen major scholarly voices, around 300 source-literature notes in all.</w:t>
      </w:r>
    </w:p>
    <w:p>
      <w:pPr>
        <w:pStyle w:val="Heading2"/>
      </w:pPr>
      <w:r>
        <w:rPr>
          <w:rFonts w:ascii="Futura Condensed ExtraBold" w:cs="Futura Condensed ExtraBold" w:eastAsia="Futura Condensed ExtraBold" w:hAnsi="Futura Condensed ExtraBold"/>
          <w:sz w:val="32"/>
          <w:szCs w:val="32"/>
        </w:rPr>
        <w:t xml:space="preserve">How it holds together: the wikilink</w:t>
      </w:r>
    </w:p>
    <w:p>
      <w:pPr>
        <w:pStyle w:val="Normal"/>
      </w:pPr>
      <w:r>
        <w:rPr>
          <w:rFonts w:ascii="Gill Sans" w:cs="Gill Sans" w:eastAsia="Gill Sans" w:hAnsi="Gill Sans"/>
          <w:sz w:val="22"/>
          <w:szCs w:val="22"/>
        </w:rPr>
        <w:t xml:space="preserve">A </w:t>
      </w:r>
      <w:r>
        <w:rPr>
          <w:rFonts w:ascii="Gill Sans" w:cs="Gill Sans" w:eastAsia="Gill Sans" w:hAnsi="Gill Sans"/>
          <w:b/>
          <w:bCs/>
          <w:sz w:val="22"/>
          <w:szCs w:val="22"/>
        </w:rPr>
        <w:t xml:space="preserve">wikilink</w:t>
      </w:r>
      <w:r>
        <w:rPr>
          <w:rFonts w:ascii="Gill Sans" w:cs="Gill Sans" w:eastAsia="Gill Sans" w:hAnsi="Gill Sans"/>
          <w:sz w:val="22"/>
          <w:szCs w:val="22"/>
        </w:rPr>
        <w:t xml:space="preserve"> is a piece of text surrounded by double brackets that behaves like a hyperlink: </w:t>
      </w:r>
      <w:r>
        <w:rPr>
          <w:rFonts w:ascii="Menlo" w:cs="Menlo" w:eastAsia="Menlo" w:hAnsi="Menlo"/>
          <w:sz w:val="22"/>
          <w:szCs w:val="22"/>
        </w:rPr>
        <w:t xml:space="preserve">[[The Beatles - A Day in the Life]]</w:t>
      </w:r>
      <w:r>
        <w:rPr>
          <w:rFonts w:ascii="Gill Sans" w:cs="Gill Sans" w:eastAsia="Gill Sans" w:hAnsi="Gill Sans"/>
          <w:sz w:val="22"/>
          <w:szCs w:val="22"/>
        </w:rPr>
        <w:t xml:space="preserve"> becomes a live pointer to that song's file. Click it and you're there.</w:t>
      </w:r>
    </w:p>
    <w:p>
      <w:pPr>
        <w:pStyle w:val="Normal"/>
      </w:pPr>
      <w:r>
        <w:rPr>
          <w:rFonts w:ascii="Gill Sans" w:cs="Gill Sans" w:eastAsia="Gill Sans" w:hAnsi="Gill Sans"/>
          <w:sz w:val="22"/>
          <w:szCs w:val="22"/>
        </w:rPr>
        <w:t xml:space="preserve">Wikilinks are the connective tissue. A chapter says </w:t>
      </w:r>
      <w:r>
        <w:rPr>
          <w:rFonts w:ascii="Gill Sans" w:cs="Gill Sans" w:eastAsia="Gill Sans" w:hAnsi="Gill Sans"/>
          <w:i/>
          <w:iCs/>
          <w:sz w:val="22"/>
          <w:szCs w:val="22"/>
        </w:rPr>
        <w:t xml:space="preserve">the harmonic trick here is a flat-VII</w:t>
      </w:r>
      <w:r>
        <w:rPr>
          <w:rFonts w:ascii="Gill Sans" w:cs="Gill Sans" w:eastAsia="Gill Sans" w:hAnsi="Gill Sans"/>
          <w:sz w:val="22"/>
          <w:szCs w:val="22"/>
        </w:rPr>
        <w:t xml:space="preserve">, and the phrase </w:t>
      </w:r>
      <w:r>
        <w:rPr>
          <w:rFonts w:ascii="Gill Sans" w:cs="Gill Sans" w:eastAsia="Gill Sans" w:hAnsi="Gill Sans"/>
          <w:i/>
          <w:iCs/>
          <w:sz w:val="22"/>
          <w:szCs w:val="22"/>
        </w:rPr>
        <w:t xml:space="preserve">flat-VII</w:t>
      </w:r>
      <w:r>
        <w:rPr>
          <w:rFonts w:ascii="Gill Sans" w:cs="Gill Sans" w:eastAsia="Gill Sans" w:hAnsi="Gill Sans"/>
          <w:sz w:val="22"/>
          <w:szCs w:val="22"/>
        </w:rPr>
        <w:t xml:space="preserve"> is a wikilink to the concept file, which lists thirty example songs, each of them wikilinks, each song pointing back to the concepts it demonstrates. The whole vault is a web.</w:t>
      </w:r>
    </w:p>
    <w:p>
      <w:pPr>
        <w:spacing w:after="12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pStyle w:val="Normal"/>
        <w:jc w:val="center"/>
      </w:pPr>
      <w:r>
        <w:rPr>
          <w:rFonts w:ascii="Gill Sans" w:cs="Gill Sans" w:eastAsia="Gill Sans" w:hAnsi="Gill Sans"/>
          <w:i/>
          <w:iCs/>
          <w:color w:val="666666"/>
          <w:sz w:val="20"/>
          <w:szCs w:val="20"/>
        </w:rPr>
        <w:t xml:space="preserve">Figure 3 — How one idea connects</w:t>
      </w:r>
    </w:p>
    <w:p>
      <w:pPr>
        <w:pStyle w:val="Normal"/>
      </w:pPr>
      <w:r>
        <w:rPr>
          <w:rFonts w:ascii="Gill Sans" w:cs="Gill Sans" w:eastAsia="Gill Sans" w:hAnsi="Gill Sans"/>
          <w:sz w:val="22"/>
          <w:szCs w:val="22"/>
        </w:rPr>
        <w:t xml:space="preserve">The linking is not a vague aspiration — I build it, folder by folder, and measure it. As of this writing the vault holds several thousand verified wikilinks: 806 in the Harmony concepts folder alone, 489 in Form and Structure, 1,332 across five more concept categories, 258 in the chapter drafts, hundreds more across the topical research folders. Every pass is logged. Every broken link gets repaired.</w:t>
      </w:r>
    </w:p>
    <w:p>
      <w:pPr>
        <w:pStyle w:val="Heading2"/>
      </w:pPr>
      <w:r>
        <w:rPr>
          <w:rFonts w:ascii="Futura Condensed ExtraBold" w:cs="Futura Condensed ExtraBold" w:eastAsia="Futura Condensed ExtraBold" w:hAnsi="Futura Condensed ExtraBold"/>
          <w:sz w:val="32"/>
          <w:szCs w:val="32"/>
        </w:rPr>
        <w:t xml:space="preserve">Where the material comes from</w:t>
      </w:r>
    </w:p>
    <w:p>
      <w:pPr>
        <w:pStyle w:val="Normal"/>
      </w:pPr>
      <w:r>
        <w:rPr>
          <w:rFonts w:ascii="Gill Sans" w:cs="Gill Sans" w:eastAsia="Gill Sans" w:hAnsi="Gill Sans"/>
          <w:sz w:val="22"/>
          <w:szCs w:val="22"/>
        </w:rPr>
        <w:t xml:space="preserve">The vault is fed from two streams, which meet in the middle.</w:t>
      </w:r>
    </w:p>
    <w:p>
      <w:pPr>
        <w:pStyle w:val="Normal"/>
      </w:pPr>
      <w:r>
        <w:rPr>
          <w:rFonts w:ascii="Gill Sans" w:cs="Gill Sans" w:eastAsia="Gill Sans" w:hAnsi="Gill Sans"/>
          <w:b/>
          <w:bCs/>
          <w:sz w:val="22"/>
          <w:szCs w:val="22"/>
        </w:rPr>
        <w:t xml:space="preserve">The external stream </w:t>
      </w:r>
      <w:r>
        <w:rPr>
          <w:rFonts w:ascii="Gill Sans" w:cs="Gill Sans" w:eastAsia="Gill Sans" w:hAnsi="Gill Sans"/>
          <w:sz w:val="22"/>
          <w:szCs w:val="22"/>
        </w:rPr>
        <w:t xml:space="preserve">is scholarship. Books and academic articles are read, excerpted, and converted into structured notes that live in the vault alongside everything else. When Walter Everett makes a claim about Beatles voice-leading, that claim becomes a linkable node in the web — available to be cited in a chapter, pointed to from a concept, confirmed or contested by a song.</w:t>
      </w:r>
    </w:p>
    <w:p>
      <w:pPr>
        <w:pStyle w:val="Normal"/>
      </w:pPr>
      <w:r>
        <w:rPr>
          <w:rFonts w:ascii="Gill Sans" w:cs="Gill Sans" w:eastAsia="Gill Sans" w:hAnsi="Gill Sans"/>
          <w:b/>
          <w:bCs/>
          <w:sz w:val="22"/>
          <w:szCs w:val="22"/>
        </w:rPr>
        <w:t xml:space="preserve">The internal stream </w:t>
      </w:r>
      <w:r>
        <w:rPr>
          <w:rFonts w:ascii="Gill Sans" w:cs="Gill Sans" w:eastAsia="Gill Sans" w:hAnsi="Gill Sans"/>
          <w:sz w:val="22"/>
          <w:szCs w:val="22"/>
        </w:rPr>
        <w:t xml:space="preserve">is my own voice — the recordings I make, the teaching notes I keep, the pontifications I write out long-hand when an idea is too slippery to hold any other way, and the original theoretical concepts that come out of all that. The </w:t>
      </w:r>
      <w:r>
        <w:rPr>
          <w:rFonts w:ascii="Gill Sans" w:cs="Gill Sans" w:eastAsia="Gill Sans" w:hAnsi="Gill Sans"/>
          <w:i/>
          <w:iCs/>
          <w:sz w:val="22"/>
          <w:szCs w:val="22"/>
        </w:rPr>
        <w:t xml:space="preserve">Stuttering ii–V Pattern</w:t>
      </w:r>
      <w:r>
        <w:rPr>
          <w:rFonts w:ascii="Gill Sans" w:cs="Gill Sans" w:eastAsia="Gill Sans" w:hAnsi="Gill Sans"/>
          <w:sz w:val="22"/>
          <w:szCs w:val="22"/>
        </w:rPr>
        <w:t xml:space="preserve"> is one of those — repeated dominant-preparation motion deliberately interrupted before it resolves, a pattern I identified, named, and then verified across a thousand-song chord corpus. Ninety-odd voice-archive entries and counting.</w:t>
      </w:r>
    </w:p>
    <w:p>
      <w:pPr>
        <w:pStyle w:val="Normal"/>
      </w:pPr>
      <w:r>
        <w:rPr>
          <w:rFonts w:ascii="Gill Sans" w:cs="Gill Sans" w:eastAsia="Gill Sans" w:hAnsi="Gill Sans"/>
          <w:sz w:val="22"/>
          <w:szCs w:val="22"/>
        </w:rPr>
        <w:t xml:space="preserve">Where the external stream brings rigor and precedent, the internal stream brings a point of view. The book is what emerges when the two converge on a single topic.</w:t>
      </w:r>
    </w:p>
    <w:p>
      <w:pPr>
        <w:pStyle w:val="Heading2"/>
      </w:pPr>
      <w:r>
        <w:rPr>
          <w:rFonts w:ascii="Futura Condensed ExtraBold" w:cs="Futura Condensed ExtraBold" w:eastAsia="Futura Condensed ExtraBold" w:hAnsi="Futura Condensed ExtraBold"/>
          <w:sz w:val="32"/>
          <w:szCs w:val="32"/>
        </w:rPr>
        <w:t xml:space="preserve">Why this matters</w:t>
      </w:r>
    </w:p>
    <w:p>
      <w:pPr>
        <w:pStyle w:val="Normal"/>
      </w:pPr>
      <w:r>
        <w:rPr>
          <w:rFonts w:ascii="Gill Sans" w:cs="Gill Sans" w:eastAsia="Gill Sans" w:hAnsi="Gill Sans"/>
          <w:sz w:val="22"/>
          <w:szCs w:val="22"/>
        </w:rPr>
        <w:t xml:space="preserve">Most music-theory books face a quiet problem: the examples, the concepts, and the source citations live in three different filing cabinets. The author holds them together by memory and typing. When the author moves on, the connections evaporate.</w:t>
      </w:r>
    </w:p>
    <w:p>
      <w:pPr>
        <w:pStyle w:val="Normal"/>
      </w:pPr>
      <w:r>
        <w:rPr>
          <w:rFonts w:ascii="Gill Sans" w:cs="Gill Sans" w:eastAsia="Gill Sans" w:hAnsi="Gill Sans"/>
          <w:sz w:val="22"/>
          <w:szCs w:val="22"/>
        </w:rPr>
        <w:t xml:space="preserve">I wanted the connections </w:t>
      </w:r>
      <w:r>
        <w:rPr>
          <w:rFonts w:ascii="Gill Sans" w:cs="Gill Sans" w:eastAsia="Gill Sans" w:hAnsi="Gill Sans"/>
          <w:i/>
          <w:iCs/>
          <w:sz w:val="22"/>
          <w:szCs w:val="22"/>
        </w:rPr>
        <w:t xml:space="preserve">to be the work.</w:t>
      </w:r>
      <w:r>
        <w:rPr>
          <w:rFonts w:ascii="Gill Sans" w:cs="Gill Sans" w:eastAsia="Gill Sans" w:hAnsi="Gill Sans"/>
          <w:sz w:val="22"/>
          <w:szCs w:val="22"/>
        </w:rPr>
        <w:t xml:space="preserve"> The songs, the ideas, the citations, and the prose aren't separate documents that happen to reference each other — they're one interconnected document that happens to be stored across many files. A reader of the finished book gets a textbook. A reader of the vault gets the textbook </w:t>
      </w:r>
      <w:r>
        <w:rPr>
          <w:rFonts w:ascii="Gill Sans" w:cs="Gill Sans" w:eastAsia="Gill Sans" w:hAnsi="Gill Sans"/>
          <w:i/>
          <w:iCs/>
          <w:sz w:val="22"/>
          <w:szCs w:val="22"/>
        </w:rPr>
        <w:t xml:space="preserve">plus</w:t>
      </w:r>
      <w:r>
        <w:rPr>
          <w:rFonts w:ascii="Gill Sans" w:cs="Gill Sans" w:eastAsia="Gill Sans" w:hAnsi="Gill Sans"/>
          <w:sz w:val="22"/>
          <w:szCs w:val="22"/>
        </w:rPr>
        <w:t xml:space="preserve"> its argument, its examples, and its receipts, all walkable.</w:t>
      </w:r>
    </w:p>
    <w:p>
      <w:pPr>
        <w:pStyle w:val="Normal"/>
      </w:pPr>
      <w:r>
        <w:rPr>
          <w:rFonts w:ascii="Gill Sans" w:cs="Gill Sans" w:eastAsia="Gill Sans" w:hAnsi="Gill Sans"/>
          <w:sz w:val="22"/>
          <w:szCs w:val="22"/>
        </w:rPr>
        <w:t xml:space="preserve">In plain terms: </w:t>
      </w:r>
      <w:r>
        <w:rPr>
          <w:rFonts w:ascii="Gill Sans" w:cs="Gill Sans" w:eastAsia="Gill Sans" w:hAnsi="Gill Sans"/>
          <w:i/>
          <w:iCs/>
          <w:sz w:val="22"/>
          <w:szCs w:val="22"/>
        </w:rPr>
        <w:t xml:space="preserve">The Sound and the Theory</w:t>
      </w:r>
      <w:r>
        <w:rPr>
          <w:rFonts w:ascii="Gill Sans" w:cs="Gill Sans" w:eastAsia="Gill Sans" w:hAnsi="Gill Sans"/>
          <w:sz w:val="22"/>
          <w:szCs w:val="22"/>
        </w:rPr>
        <w:t xml:space="preserve"> is a popular-music-theory textbook that can show its work. That's the theory. And, as the vault itself demonstrates, it's also the practice.</w:t>
      </w:r>
    </w:p>
    <w:p>
      <w:pPr>
        <w:pStyle w:val="Normal"/>
        <w:pBdr>
          <w:bottom w:val="single" w:color="999999" w:sz="6" w:space="1"/>
        </w:pBdr>
        <w:spacing w:after="240" w:before="240"/>
      </w:pPr>
      <w:r>
        <w:t xml:space="preserve"/>
      </w:r>
    </w:p>
    <w:p>
      <w:pPr>
        <w:pStyle w:val="Normal"/>
      </w:pPr>
      <w:r>
        <w:rPr>
          <w:rFonts w:ascii="Gill Sans" w:cs="Gill Sans" w:eastAsia="Gill Sans" w:hAnsi="Gill Sans"/>
          <w:i/>
          <w:iCs/>
          <w:sz w:val="22"/>
          <w:szCs w:val="22"/>
        </w:rPr>
        <w:t xml:space="preserve">Prepared for non-technical readers. For deeper technical detail, see the vault's </w:t>
      </w:r>
      <w:r>
        <w:rPr>
          <w:rFonts w:ascii="Menlo" w:cs="Menlo" w:eastAsia="Menlo" w:hAnsi="Menlo"/>
          <w:i/>
          <w:iCs/>
          <w:sz w:val="22"/>
          <w:szCs w:val="22"/>
        </w:rPr>
        <w:t xml:space="preserve">VAULT_MAPS/</w:t>
      </w:r>
      <w:r>
        <w:rPr>
          <w:rFonts w:ascii="Gill Sans" w:cs="Gill Sans" w:eastAsia="Gill Sans" w:hAnsi="Gill Sans"/>
          <w:i/>
          <w:iCs/>
          <w:sz w:val="22"/>
          <w:szCs w:val="22"/>
        </w:rPr>
        <w:t xml:space="preserve"> and the per-folder wikilinker logs under </w:t>
      </w:r>
      <w:r>
        <w:rPr>
          <w:rFonts w:ascii="Menlo" w:cs="Menlo" w:eastAsia="Menlo" w:hAnsi="Menlo"/>
          <w:i/>
          <w:iCs/>
          <w:sz w:val="22"/>
          <w:szCs w:val="22"/>
        </w:rPr>
        <w:t xml:space="preserve">01_ADMIN_AND_POLICY/</w:t>
      </w:r>
      <w:r>
        <w:rPr>
          <w:rFonts w:ascii="Gill Sans" w:cs="Gill Sans" w:eastAsia="Gill Sans" w:hAnsi="Gill Sans"/>
          <w:i/>
          <w:iCs/>
          <w:sz w:val="22"/>
          <w:szCs w:val="2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ill Sans" w:cs="Gill Sans" w:eastAsia="Gill Sans" w:hAnsi="Gill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20" w:line="360"/>
    </w:pPr>
    <w:rPr>
      <w:rFonts w:ascii="Gill Sans" w:cs="Gill Sans" w:eastAsia="Gill Sans" w:hAnsi="Gill Sans"/>
      <w:sz w:val="22"/>
      <w:szCs w:val="22"/>
    </w:rPr>
  </w:style>
  <w:style w:type="paragraph" w:styleId="Heading1">
    <w:name w:val="Heading 1"/>
    <w:basedOn w:val="Normal"/>
    <w:next w:val="Normal"/>
    <w:qFormat/>
    <w:pPr>
      <w:spacing w:after="360" w:before="0"/>
      <w:outlineLvl w:val="0"/>
    </w:pPr>
    <w:rPr>
      <w:rFonts w:ascii="Futura Condensed ExtraBold" w:cs="Futura Condensed ExtraBold" w:eastAsia="Futura Condensed ExtraBold" w:hAnsi="Futura Condensed ExtraBold"/>
      <w:b w:val="false"/>
      <w:bCs w:val="false"/>
      <w:sz w:val="40"/>
      <w:szCs w:val="40"/>
    </w:rPr>
  </w:style>
  <w:style w:type="paragraph" w:styleId="Heading2">
    <w:name w:val="Heading 2"/>
    <w:basedOn w:val="Normal"/>
    <w:next w:val="Normal"/>
    <w:qFormat/>
    <w:pPr>
      <w:spacing w:after="240" w:before="480"/>
      <w:outlineLvl w:val="1"/>
    </w:pPr>
    <w:rPr>
      <w:rFonts w:ascii="Futura Condensed ExtraBold" w:cs="Futura Condensed ExtraBold" w:eastAsia="Futura Condensed ExtraBold" w:hAnsi="Futura Condensed ExtraBold"/>
      <w:b w:val="false"/>
      <w:bCs w:val="false"/>
      <w:sz w:val="32"/>
      <w:szCs w:val="32"/>
    </w:rPr>
  </w:style>
  <w:style w:type="paragraph" w:styleId="Heading3">
    <w:name w:val="Heading 3"/>
    <w:basedOn w:val="Normal"/>
    <w:next w:val="Normal"/>
    <w:qFormat/>
    <w:pPr>
      <w:spacing w:after="180" w:before="360"/>
      <w:outlineLvl w:val="2"/>
    </w:pPr>
    <w:rPr>
      <w:rFonts w:ascii="Futura Condensed ExtraBold" w:cs="Futura Condensed ExtraBold" w:eastAsia="Futura Condensed ExtraBold" w:hAnsi="Futura Condensed ExtraBold"/>
      <w:b w:val="false"/>
      <w:bCs w:val="fals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5f230120a7d7390f3737fd54d403b50ab95197.undefined"/><Relationship Id="rId8" Type="http://schemas.openxmlformats.org/officeDocument/2006/relationships/image" Target="media/a72027df3b5697ea292c93f0395f3d8c76326859.undefined"/><Relationship Id="rId9" Type="http://schemas.openxmlformats.org/officeDocument/2006/relationships/image" Target="media/24c75816cc58f8faf9bf5472746842ba762de2bf.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2026-04-21T21:27:20.312Z</dcterms:created>
  <dcterms:modified xsi:type="dcterms:W3CDTF">2026-04-21T21:27:20.313Z</dcterms:modified>
</cp:coreProperties>
</file>

<file path=docProps/custom.xml><?xml version="1.0" encoding="utf-8"?>
<Properties xmlns="http://schemas.openxmlformats.org/officeDocument/2006/custom-properties" xmlns:vt="http://schemas.openxmlformats.org/officeDocument/2006/docPropsVTypes"/>
</file>