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Box Specimen — Ruling 3 Print Palette</w:t>
      </w:r>
    </w:p>
    <w:p>
      <w:pPr>
        <w:pStyle w:val="Normal"/>
      </w:pPr>
      <w:r>
        <w:t xml:space="preserve">Specimen only. Each box below carries its ratified colour (DESIGN.md Appendix B, Ruling 3, approved 2026-08-09). Body text is placeholder describing each box's purpose — approve or amend colours and structures.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2C5" w:sz="1"/>
              <w:left w:val="single" w:color="D8D2C5" w:sz="1"/>
              <w:bottom w:val="single" w:color="D8D2C5" w:sz="1"/>
              <w:right w:val="single" w:color="D8D2C5" w:sz="1"/>
            </w:tcBorders>
            <w:shd w:fill="F6F1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Gill Sans" w:cs="Gill Sans" w:eastAsia="Gill Sans" w:hAnsi="Gill Sans"/>
                <w:b/>
                <w:bCs/>
                <w:sz w:val="26"/>
                <w:szCs w:val="26"/>
              </w:rPr>
              <w:t xml:space="preserve">Cadence</w:t>
            </w:r>
          </w:p>
          <w:p>
            <w:pPr>
              <w:spacing w:after="60"/>
            </w:pPr>
            <w:r>
              <w:rPr>
                <w:rFonts w:ascii="Gill Sans" w:cs="Gill Sans" w:eastAsia="Gill Sans" w:hAnsi="Gill Sans"/>
                <w:sz w:val="22"/>
                <w:szCs w:val="22"/>
              </w:rPr>
              <w:t xml:space="preserve">Pattern A, full border, rule-neutral frame #D8D2C5 on warm parchment #F6F1E6. The Definition box holds key terms and their definitions.</w:t>
            </w:r>
          </w:p>
        </w:tc>
      </w:tr>
    </w:tbl>
    <w:p>
      <w:pPr>
        <w:pStyle w:val="Normal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6F1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Gill Sans" w:cs="Gill Sans" w:eastAsia="Gill Sans" w:hAnsi="Gill Sans"/>
                <w:b/>
                <w:bCs/>
                <w:sz w:val="26"/>
                <w:szCs w:val="26"/>
              </w:rPr>
              <w:t xml:space="preserve">Example 7.1 — Analysis</w:t>
            </w:r>
          </w:p>
          <w:p>
            <w:pPr>
              <w:spacing w:after="60"/>
            </w:pPr>
            <w:r>
              <w:rPr>
                <w:rFonts w:ascii="Gill Sans" w:cs="Gill Sans" w:eastAsia="Gill Sans" w:hAnsi="Gill Sans"/>
                <w:sz w:val="22"/>
                <w:szCs w:val="22"/>
              </w:rPr>
              <w:t xml:space="preserve">Pattern A, full border, steel #888888 on warm parchment. The Example box holds musical examples and analyses.</w:t>
            </w:r>
          </w:p>
        </w:tc>
      </w:tr>
    </w:tbl>
    <w:p>
      <w:pPr>
        <w:pStyle w:val="Normal"/>
      </w:pPr>
      <w:r>
        <w:t xml:space="preserve"/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</w:tblGrid>
      <w:tr>
        <w:tc>
          <w:tcPr>
            <w:tcW w:type="dxa" w:w="6900"/>
            <w:tcBorders>
              <w:top w:val="none" w:sz="0"/>
              <w:left w:val="single" w:color="5B7A99" w:sz="76"/>
              <w:bottom w:val="none" w:sz="0"/>
              <w:right w:val="none" w:sz="0"/>
            </w:tcBorders>
            <w:tcMar>
              <w:top w:type="dxa" w:w="160"/>
              <w:left w:type="dxa" w:w="240"/>
              <w:bottom w:type="dxa" w:w="160"/>
              <w:right w:type="dxa" w:w="120"/>
            </w:tcMar>
          </w:tcPr>
          <w:p>
            <w:pPr>
              <w:spacing w:after="60"/>
            </w:pPr>
            <w:r>
              <w:rPr>
                <w:rFonts w:ascii="Gill Sans" w:cs="Gill Sans" w:eastAsia="Gill Sans" w:hAnsi="Gill Sans"/>
                <w:b/>
                <w:bCs/>
                <w:sz w:val="22"/>
                <w:szCs w:val="22"/>
              </w:rPr>
              <w:t xml:space="preserve">Etymology: Cadence</w:t>
            </w:r>
          </w:p>
          <w:p>
            <w:pPr>
              <w:spacing w:after="40" w:line="240"/>
            </w:pPr>
            <w:r>
              <w:rPr>
                <w:rFonts w:ascii="Gill Sans" w:cs="Gill Sans" w:eastAsia="Gill Sans" w:hAnsi="Gill Sans"/>
                <w:i w:val="false"/>
                <w:iCs w:val="false"/>
                <w:sz w:val="20"/>
                <w:szCs w:val="20"/>
              </w:rPr>
              <w:t xml:space="preserve">Slate #5B7A99 left bar. From Latin cadere, to fall — the melodic line falls to its resting place.</w:t>
            </w:r>
          </w:p>
        </w:tc>
      </w:tr>
    </w:tbl>
    <w:p>
      <w:pPr>
        <w:pStyle w:val="Normal"/>
      </w:pPr>
      <w:r>
        <w:t xml:space="preserve"/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</w:tblGrid>
      <w:tr>
        <w:tc>
          <w:tcPr>
            <w:tcW w:type="dxa" w:w="6900"/>
            <w:tcBorders>
              <w:top w:val="none" w:sz="0"/>
              <w:left w:val="single" w:color="7B4E70" w:sz="76"/>
              <w:bottom w:val="none" w:sz="0"/>
              <w:right w:val="none" w:sz="0"/>
            </w:tcBorders>
            <w:tcMar>
              <w:top w:type="dxa" w:w="160"/>
              <w:left w:type="dxa" w:w="240"/>
              <w:bottom w:type="dxa" w:w="160"/>
              <w:right w:type="dxa" w:w="120"/>
            </w:tcMar>
          </w:tcPr>
          <w:p>
            <w:pPr>
              <w:spacing w:after="60"/>
            </w:pPr>
            <w:r>
              <w:rPr>
                <w:rFonts w:ascii="Gill Sans" w:cs="Gill Sans" w:eastAsia="Gill Sans" w:hAnsi="Gill Sans"/>
                <w:b/>
                <w:bCs/>
                <w:sz w:val="22"/>
                <w:szCs w:val="22"/>
              </w:rPr>
              <w:t xml:space="preserve">Pedestal of Pedantry</w:t>
            </w:r>
          </w:p>
          <w:p>
            <w:pPr>
              <w:spacing w:after="40" w:line="240"/>
            </w:pPr>
            <w:r>
              <w:rPr>
                <w:rFonts w:ascii="Gill Sans" w:cs="Gill Sans" w:eastAsia="Gill Sans" w:hAnsi="Gill Sans"/>
                <w:i w:val="false"/>
                <w:iCs w:val="false"/>
                <w:sz w:val="20"/>
                <w:szCs w:val="20"/>
              </w:rPr>
              <w:t xml:space="preserve">Plum #7B4E70 left bar. Strictly speaking, the half cadence is not a cadence at all but a caesura with ambitions.</w:t>
            </w:r>
          </w:p>
        </w:tc>
      </w:tr>
    </w:tbl>
    <w:p>
      <w:pPr>
        <w:pStyle w:val="Normal"/>
      </w:pPr>
      <w:r>
        <w:t xml:space="preserve"/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</w:tblGrid>
      <w:tr>
        <w:tc>
          <w:tcPr>
            <w:tcW w:type="dxa" w:w="6900"/>
            <w:tcBorders>
              <w:top w:val="none" w:sz="0"/>
              <w:left w:val="single" w:color="8A5636" w:sz="76"/>
              <w:bottom w:val="none" w:sz="0"/>
              <w:right w:val="none" w:sz="0"/>
            </w:tcBorders>
            <w:tcMar>
              <w:top w:type="dxa" w:w="160"/>
              <w:left w:type="dxa" w:w="240"/>
              <w:bottom w:type="dxa" w:w="160"/>
              <w:right w:type="dxa" w:w="120"/>
            </w:tcMar>
          </w:tcPr>
          <w:p>
            <w:pPr>
              <w:spacing w:after="60"/>
            </w:pPr>
            <w:r>
              <w:rPr>
                <w:rFonts w:ascii="Gill Sans" w:cs="Gill Sans" w:eastAsia="Gill Sans" w:hAnsi="Gill Sans"/>
                <w:b/>
                <w:bCs/>
                <w:sz w:val="22"/>
                <w:szCs w:val="22"/>
              </w:rPr>
              <w:t xml:space="preserve">Medieval Whispers</w:t>
            </w:r>
          </w:p>
          <w:p>
            <w:pPr>
              <w:spacing w:after="40" w:line="240"/>
            </w:pPr>
            <w:r>
              <w:rPr>
                <w:rFonts w:ascii="Gill Sans" w:cs="Gill Sans" w:eastAsia="Gill Sans" w:hAnsi="Gill Sans"/>
                <w:i/>
                <w:iCs/>
                <w:sz w:val="20"/>
                <w:szCs w:val="20"/>
              </w:rPr>
              <w:t xml:space="preserve">Sepia #8A5636 left bar, italic body per Ruling 3. The clausula vera was resolving stepwise before anyone thought to name the dominant.</w:t>
            </w:r>
          </w:p>
        </w:tc>
      </w:tr>
    </w:tbl>
    <w:p>
      <w:pPr>
        <w:pStyle w:val="Normal"/>
      </w:pPr>
      <w:r>
        <w:t xml:space="preserve"/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</w:tblGrid>
      <w:tr>
        <w:tc>
          <w:tcPr>
            <w:tcW w:type="dxa" w:w="6900"/>
            <w:tcBorders>
              <w:top w:val="none" w:sz="0"/>
              <w:left w:val="single" w:color="B97C4B" w:sz="76"/>
              <w:bottom w:val="none" w:sz="0"/>
              <w:right w:val="none" w:sz="0"/>
            </w:tcBorders>
            <w:tcMar>
              <w:top w:type="dxa" w:w="160"/>
              <w:left w:type="dxa" w:w="240"/>
              <w:bottom w:type="dxa" w:w="160"/>
              <w:right w:type="dxa" w:w="120"/>
            </w:tcMar>
          </w:tcPr>
          <w:p>
            <w:pPr>
              <w:spacing w:after="60"/>
            </w:pPr>
            <w:r>
              <w:rPr>
                <w:rFonts w:ascii="Gill Sans" w:cs="Gill Sans" w:eastAsia="Gill Sans" w:hAnsi="Gill Sans"/>
                <w:b/>
                <w:bCs/>
                <w:sz w:val="22"/>
                <w:szCs w:val="22"/>
              </w:rPr>
              <w:t xml:space="preserve">Tip</w:t>
            </w:r>
          </w:p>
          <w:p>
            <w:pPr>
              <w:spacing w:after="40" w:line="240"/>
            </w:pPr>
            <w:r>
              <w:rPr>
                <w:rFonts w:ascii="Gill Sans" w:cs="Gill Sans" w:eastAsia="Gill Sans" w:hAnsi="Gill Sans"/>
                <w:i w:val="false"/>
                <w:iCs w:val="false"/>
                <w:sz w:val="20"/>
                <w:szCs w:val="20"/>
              </w:rPr>
              <w:t xml:space="preserve">Ochre #B97C4B left bar. Play the progression before you analyse it; the ear files a report the eye cannot.</w:t>
            </w:r>
          </w:p>
        </w:tc>
      </w:tr>
    </w:tbl>
    <w:p>
      <w:pPr>
        <w:pStyle w:val="Normal"/>
      </w:pPr>
      <w:r>
        <w:t xml:space="preserve"/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</w:tblGrid>
      <w:tr>
        <w:tc>
          <w:tcPr>
            <w:tcW w:type="dxa" w:w="6900"/>
            <w:tcBorders>
              <w:top w:val="none" w:sz="0"/>
              <w:left w:val="single" w:color="2F4F43" w:sz="76"/>
              <w:bottom w:val="none" w:sz="0"/>
              <w:right w:val="none" w:sz="0"/>
            </w:tcBorders>
            <w:tcMar>
              <w:top w:type="dxa" w:w="160"/>
              <w:left w:type="dxa" w:w="240"/>
              <w:bottom w:type="dxa" w:w="160"/>
              <w:right w:type="dxa" w:w="120"/>
            </w:tcMar>
          </w:tcPr>
          <w:p>
            <w:pPr>
              <w:spacing w:after="60"/>
            </w:pPr>
            <w:r>
              <w:rPr>
                <w:rFonts w:ascii="Gill Sans" w:cs="Gill Sans" w:eastAsia="Gill Sans" w:hAnsi="Gill Sans"/>
                <w:b/>
                <w:bCs/>
                <w:sz w:val="22"/>
                <w:szCs w:val="22"/>
              </w:rPr>
              <w:t xml:space="preserve">…and the story continues</w:t>
            </w:r>
          </w:p>
          <w:p>
            <w:pPr>
              <w:spacing w:after="40" w:line="240"/>
            </w:pPr>
            <w:r>
              <w:rPr>
                <w:rFonts w:ascii="Gill Sans" w:cs="Gill Sans" w:eastAsia="Gill Sans" w:hAnsi="Gill Sans"/>
                <w:i w:val="false"/>
                <w:iCs w:val="false"/>
                <w:sz w:val="20"/>
                <w:szCs w:val="20"/>
              </w:rPr>
              <w:t xml:space="preserve">Forest #2F4F43 left bar. This is not the end of the story — like most things in music it is more complex, and we will return to it.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ill Sans" w:cs="Gill Sans" w:eastAsia="Gill Sans" w:hAnsi="Gill San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qFormat/>
    <w:pPr>
      <w:spacing w:after="120" w:line="360"/>
    </w:pPr>
    <w:rPr>
      <w:rFonts w:ascii="Gill Sans" w:cs="Gill Sans" w:eastAsia="Gill Sans" w:hAnsi="Gill Sans"/>
      <w:sz w:val="22"/>
      <w:szCs w:val="22"/>
    </w:rPr>
  </w:style>
  <w:style w:type="paragraph" w:styleId="Heading1">
    <w:name w:val="Heading 1"/>
    <w:basedOn w:val="Normal"/>
    <w:next w:val="Normal"/>
    <w:qFormat/>
    <w:pPr>
      <w:spacing w:after="360" w:before="0"/>
      <w:outlineLvl w:val="0"/>
    </w:pPr>
    <w:rPr>
      <w:rFonts w:ascii="Futura Condensed ExtraBold" w:cs="Futura Condensed ExtraBold" w:eastAsia="Futura Condensed ExtraBold" w:hAnsi="Futura Condensed ExtraBold"/>
      <w:b w:val="false"/>
      <w:bCs w:val="fals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240" w:before="480"/>
      <w:outlineLvl w:val="1"/>
    </w:pPr>
    <w:rPr>
      <w:rFonts w:ascii="Futura Condensed ExtraBold" w:cs="Futura Condensed ExtraBold" w:eastAsia="Futura Condensed ExtraBold" w:hAnsi="Futura Condensed ExtraBold"/>
      <w:b w:val="false"/>
      <w:bCs w:val="false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2026-08-10T15:41:06.555Z</dcterms:created>
  <dcterms:modified xsi:type="dcterms:W3CDTF">2026-08-10T15:41:06.556Z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