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FF4500"/>
          <w:sz w:val="72"/>
          <w:szCs w:val="72"/>
        </w:rPr>
        <w:t xml:space="preserve">LAS VEGAS</w:t>
      </w:r>
    </w:p>
    <w:p>
      <w:pPr>
        <w:spacing w:after="120"/>
        <w:jc w:val="center"/>
      </w:pPr>
      <w:r>
        <w:rPr>
          <w:rFonts w:ascii="Arial" w:cs="Arial" w:eastAsia="Arial" w:hAnsi="Arial"/>
          <w:b/>
          <w:bCs/>
          <w:color w:val="FF6B35"/>
          <w:sz w:val="72"/>
          <w:szCs w:val="72"/>
        </w:rPr>
        <w:t xml:space="preserve">FIRE DANCERS</w:t>
      </w:r>
    </w:p>
    <w:p>
      <w:pPr>
        <w:spacing w:after="600"/>
        <w:jc w:val="center"/>
      </w:pPr>
      <w:r>
        <w:rPr>
          <w:rFonts w:ascii="Arial" w:cs="Arial" w:eastAsia="Arial" w:hAnsi="Arial"/>
          <w:color w:val="2D2D2D"/>
          <w:spacing w:val="400"/>
          <w:sz w:val="36"/>
          <w:szCs w:val="36"/>
        </w:rPr>
        <w:t xml:space="preserve">BRAND GUIDELINES</w:t>
      </w:r>
    </w:p>
    <w:p>
      <w:pPr>
        <w:pBdr>
          <w:top w:val="single" w:color="FF4500" w:sz="6" w:space="12"/>
        </w:pBdr>
        <w:spacing w:before="240" w:after="120"/>
        <w:jc w:val="center"/>
      </w:pPr>
      <w:r>
        <w:rPr>
          <w:rFonts w:ascii="Arial" w:cs="Arial" w:eastAsia="Arial" w:hAnsi="Arial"/>
          <w:color w:val="999999"/>
          <w:sz w:val="22"/>
          <w:szCs w:val="22"/>
        </w:rPr>
        <w:t xml:space="preserve">Version 1.0  —  March 2026</w:t>
      </w:r>
    </w:p>
    <w:p>
      <w:pPr>
        <w:spacing w:after="120"/>
        <w:jc w:val="center"/>
      </w:pPr>
      <w:r>
        <w:rPr>
          <w:rFonts w:ascii="Arial" w:cs="Arial" w:eastAsia="Arial" w:hAnsi="Arial"/>
          <w:color w:val="999999"/>
          <w:sz w:val="22"/>
          <w:szCs w:val="22"/>
        </w:rPr>
        <w:t xml:space="preserve">Sponsored by Fund the Flow Arts &amp; Pyrotechnique</w:t>
      </w:r>
    </w:p>
    <w:p>
      <w:pPr>
        <w:sectPr>
          <w:pgSz w:w="12240" w:h="15840" w:orient="portrait"/>
          <w:pgMar w:top="1440" w:right="1440" w:bottom="1440" w:left="1440" w:header="708" w:footer="708" w:gutter="0"/>
          <w:pgNumType/>
          <w:docGrid w:linePitch="360"/>
        </w:sectPr>
      </w:pPr>
    </w:p>
    <w:p>
      <w:pPr>
        <w:pStyle w:val="Heading1"/>
      </w:pPr>
      <w:r>
        <w:t xml:space="preserve">1. Brand Overview</w:t>
      </w:r>
    </w:p>
    <w:p>
      <w:pPr>
        <w:spacing w:after="200"/>
      </w:pPr>
      <w:r>
        <w:t xml:space="preserve">Las Vegas Fire Dancers (LVFD) is a weekly community fire flow jam held in the Las Vegas area. Funded by a grant through Fund the Flow Arts and sponsored by Pyrotechnique, LVFD exists to build a safe, inclusive, and educational community for fire performers of all skill levels.</w:t>
      </w:r>
    </w:p>
    <w:p>
      <w:pPr>
        <w:pStyle w:val="Heading2"/>
      </w:pPr>
      <w:r>
        <w:t xml:space="preserve">Mission Statement</w:t>
      </w:r>
    </w:p>
    <w:p>
      <w:pPr>
        <w:spacing w:after="200"/>
      </w:pPr>
      <w:r>
        <w:t xml:space="preserve">To ignite community through the art of fire flow by providing a welcoming, safety-first environment where spinners, dancers, and performers of all experience levels can learn, practice, and grow together every week in Las Vegas.</w:t>
      </w:r>
    </w:p>
    <w:p>
      <w:pPr>
        <w:pStyle w:val="Heading2"/>
      </w:pPr>
      <w:r>
        <w:t xml:space="preserve">Brand Pillars</w:t>
      </w:r>
    </w:p>
    <w:p>
      <w:pPr>
        <w:pStyle w:val="ListParagraph"/>
        <w:numPr>
          <w:ilvl w:val="0"/>
          <w:numId w:val="2"/>
        </w:numPr>
        <w:spacing w:after="80"/>
      </w:pPr>
      <w:r>
        <w:rPr>
          <w:b/>
          <w:bCs/>
        </w:rPr>
        <w:t xml:space="preserve">Community First: </w:t>
      </w:r>
      <w:r>
        <w:t xml:space="preserve">Inclusive, welcoming, and supportive of all skill levels</w:t>
      </w:r>
    </w:p>
    <w:p>
      <w:pPr>
        <w:pStyle w:val="ListParagraph"/>
        <w:numPr>
          <w:ilvl w:val="0"/>
          <w:numId w:val="2"/>
        </w:numPr>
        <w:spacing w:after="80"/>
      </w:pPr>
      <w:r>
        <w:rPr>
          <w:b/>
          <w:bCs/>
        </w:rPr>
        <w:t xml:space="preserve">Safety Always: </w:t>
      </w:r>
      <w:r>
        <w:t xml:space="preserve">Responsible practices, trained safety personnel, and best-in-class protocols</w:t>
      </w:r>
    </w:p>
    <w:p>
      <w:pPr>
        <w:pStyle w:val="ListParagraph"/>
        <w:numPr>
          <w:ilvl w:val="0"/>
          <w:numId w:val="2"/>
        </w:numPr>
        <w:spacing w:after="80"/>
      </w:pPr>
      <w:r>
        <w:rPr>
          <w:b/>
          <w:bCs/>
        </w:rPr>
        <w:t xml:space="preserve">Education &amp; Growth: </w:t>
      </w:r>
      <w:r>
        <w:t xml:space="preserve">Workshops, mentorship, and skill-building at every gathering</w:t>
      </w:r>
    </w:p>
    <w:p>
      <w:pPr>
        <w:pStyle w:val="ListParagraph"/>
        <w:numPr>
          <w:ilvl w:val="0"/>
          <w:numId w:val="2"/>
        </w:numPr>
        <w:spacing w:after="80"/>
      </w:pPr>
      <w:r>
        <w:rPr>
          <w:b/>
          <w:bCs/>
        </w:rPr>
        <w:t xml:space="preserve">Best Foot Forward: </w:t>
      </w:r>
      <w:r>
        <w:t xml:space="preserve">Representing fire arts professionally to the public and authorities</w:t>
      </w:r>
    </w:p>
    <w:p>
      <w:pPr>
        <w:pStyle w:val="ListParagraph"/>
        <w:numPr>
          <w:ilvl w:val="0"/>
          <w:numId w:val="2"/>
        </w:numPr>
        <w:spacing w:after="200"/>
      </w:pPr>
      <w:r>
        <w:rPr>
          <w:b/>
          <w:bCs/>
        </w:rPr>
        <w:t xml:space="preserve">Artistic Expression: </w:t>
      </w:r>
      <w:r>
        <w:t xml:space="preserve">Celebrating the beauty and power of fire performance as a legitimate art form</w:t>
      </w:r>
    </w:p>
    <w:p>
      <w:pPr>
        <w:pStyle w:val="Heading2"/>
      </w:pPr>
      <w:r>
        <w:t xml:space="preserve">Brand Voice &amp; Tone</w:t>
      </w:r>
    </w:p>
    <w:p>
      <w:pPr>
        <w:spacing w:after="100"/>
      </w:pPr>
      <w:r>
        <w:t xml:space="preserve">The LVFD voice is warm, inviting, and knowledgeable. We speak with the authority of experienced fire performers while remaining approachable to complete beginners. Our tone balances excitement and energy with responsibility and safety awareness.</w:t>
      </w:r>
    </w:p>
    <w:p>
      <w:pPr>
        <w:pStyle w:val="ListParagraph"/>
        <w:numPr>
          <w:ilvl w:val="0"/>
          <w:numId w:val="2"/>
        </w:numPr>
        <w:spacing w:after="80"/>
      </w:pPr>
      <w:r>
        <w:rPr>
          <w:b/>
          <w:bCs/>
        </w:rPr>
        <w:t xml:space="preserve">Warm &amp; Inviting: </w:t>
      </w:r>
      <w:r>
        <w:t xml:space="preserve">We welcome everyone to the fire circle</w:t>
      </w:r>
    </w:p>
    <w:p>
      <w:pPr>
        <w:pStyle w:val="ListParagraph"/>
        <w:numPr>
          <w:ilvl w:val="0"/>
          <w:numId w:val="2"/>
        </w:numPr>
        <w:spacing w:after="80"/>
      </w:pPr>
      <w:r>
        <w:rPr>
          <w:b/>
          <w:bCs/>
        </w:rPr>
        <w:t xml:space="preserve">Confident &amp; Responsible: </w:t>
      </w:r>
      <w:r>
        <w:t xml:space="preserve">We take safety seriously and lead by example</w:t>
      </w:r>
    </w:p>
    <w:p>
      <w:pPr>
        <w:pStyle w:val="ListParagraph"/>
        <w:numPr>
          <w:ilvl w:val="0"/>
          <w:numId w:val="2"/>
        </w:numPr>
        <w:spacing w:after="80"/>
      </w:pPr>
      <w:r>
        <w:rPr>
          <w:b/>
          <w:bCs/>
        </w:rPr>
        <w:t xml:space="preserve">Educational &amp; Encouraging: </w:t>
      </w:r>
      <w:r>
        <w:t xml:space="preserve">We lift each other up and share knowledge freely</w:t>
      </w:r>
    </w:p>
    <w:p>
      <w:pPr>
        <w:pStyle w:val="ListParagraph"/>
        <w:numPr>
          <w:ilvl w:val="0"/>
          <w:numId w:val="2"/>
        </w:numPr>
        <w:spacing w:after="200"/>
      </w:pPr>
      <w:r>
        <w:rPr>
          <w:b/>
          <w:bCs/>
        </w:rPr>
        <w:t xml:space="preserve">Energetic but Grounded: </w:t>
      </w:r>
      <w:r>
        <w:t xml:space="preserve">Exciting content balanced with mature, professional presentation</w:t>
      </w:r>
    </w:p>
    <w:p>
      <w:r>
        <w:br w:type="page"/>
      </w:r>
    </w:p>
    <w:p>
      <w:pPr>
        <w:pStyle w:val="Heading1"/>
      </w:pPr>
      <w:r>
        <w:t xml:space="preserve">2. Visual Identity</w:t>
      </w:r>
    </w:p>
    <w:p>
      <w:pPr>
        <w:pStyle w:val="Heading2"/>
      </w:pPr>
      <w:r>
        <w:t xml:space="preserve">Logo Usage</w:t>
      </w:r>
    </w:p>
    <w:p>
      <w:pPr>
        <w:spacing w:after="100"/>
      </w:pPr>
      <w:r>
        <w:t xml:space="preserve">The LVFD logo features stylized flame forms integrated with the text. The logo should always be presented on dark backgrounds for maximum impact. Below are the approved configurations:</w:t>
      </w:r>
    </w:p>
    <w:p>
      <w:pPr>
        <w:pStyle w:val="ListParagraph"/>
        <w:numPr>
          <w:ilvl w:val="0"/>
          <w:numId w:val="2"/>
        </w:numPr>
        <w:spacing w:after="80"/>
      </w:pPr>
      <w:r>
        <w:rPr>
          <w:b/>
          <w:bCs/>
        </w:rPr>
        <w:t xml:space="preserve">Primary Logo: </w:t>
      </w:r>
      <w:r>
        <w:t xml:space="preserve">Full wordmark “Las Vegas Fire Dancers” with flame icon, on black or dark charcoal</w:t>
      </w:r>
    </w:p>
    <w:p>
      <w:pPr>
        <w:pStyle w:val="ListParagraph"/>
        <w:numPr>
          <w:ilvl w:val="0"/>
          <w:numId w:val="2"/>
        </w:numPr>
        <w:spacing w:after="80"/>
      </w:pPr>
      <w:r>
        <w:rPr>
          <w:b/>
          <w:bCs/>
        </w:rPr>
        <w:t xml:space="preserve">Secondary Logo: </w:t>
      </w:r>
      <w:r>
        <w:t xml:space="preserve">Abbreviated “LVFD” monogram with flame accent, for social media avatars and compact usage</w:t>
      </w:r>
    </w:p>
    <w:p>
      <w:pPr>
        <w:pStyle w:val="ListParagraph"/>
        <w:numPr>
          <w:ilvl w:val="0"/>
          <w:numId w:val="2"/>
        </w:numPr>
        <w:spacing w:after="80"/>
      </w:pPr>
      <w:r>
        <w:rPr>
          <w:b/>
          <w:bCs/>
        </w:rPr>
        <w:t xml:space="preserve">Icon Only: </w:t>
      </w:r>
      <w:r>
        <w:t xml:space="preserve">Standalone flame mark for favicon, app icon, and small-format uses</w:t>
      </w:r>
    </w:p>
    <w:p>
      <w:pPr>
        <w:spacing w:after="200"/>
      </w:pPr>
      <w:r>
        <w:rPr>
          <w:b/>
          <w:bCs/>
        </w:rPr>
        <w:t xml:space="preserve">Clear Space: </w:t>
      </w:r>
      <w:r>
        <w:t xml:space="preserve">Maintain a minimum clear space equal to the height of the “L” in “Las” around all sides of the logo.</w:t>
      </w:r>
    </w:p>
    <w:p>
      <w:pPr>
        <w:pStyle w:val="Heading3"/>
      </w:pPr>
      <w:r>
        <w:t xml:space="preserve">Logo Don’ts</w:t>
      </w:r>
    </w:p>
    <w:p>
      <w:pPr>
        <w:pStyle w:val="ListParagraph"/>
        <w:numPr>
          <w:ilvl w:val="0"/>
          <w:numId w:val="2"/>
        </w:numPr>
        <w:spacing w:after="80"/>
      </w:pPr>
      <w:r>
        <w:t xml:space="preserve">Do not place the logo on busy or light-colored backgrounds</w:t>
      </w:r>
    </w:p>
    <w:p>
      <w:pPr>
        <w:pStyle w:val="ListParagraph"/>
        <w:numPr>
          <w:ilvl w:val="0"/>
          <w:numId w:val="2"/>
        </w:numPr>
        <w:spacing w:after="80"/>
      </w:pPr>
      <w:r>
        <w:t xml:space="preserve">Do not stretch, rotate, or distort the logo</w:t>
      </w:r>
    </w:p>
    <w:p>
      <w:pPr>
        <w:pStyle w:val="ListParagraph"/>
        <w:numPr>
          <w:ilvl w:val="0"/>
          <w:numId w:val="2"/>
        </w:numPr>
        <w:spacing w:after="80"/>
      </w:pPr>
      <w:r>
        <w:t xml:space="preserve">Do not change the logo colors outside of approved palette</w:t>
      </w:r>
    </w:p>
    <w:p>
      <w:pPr>
        <w:pStyle w:val="ListParagraph"/>
        <w:numPr>
          <w:ilvl w:val="0"/>
          <w:numId w:val="2"/>
        </w:numPr>
        <w:spacing w:after="80"/>
      </w:pPr>
      <w:r>
        <w:t xml:space="preserve">Do not add drop shadows, outlines, or effects to the logo</w:t>
      </w:r>
    </w:p>
    <w:p>
      <w:pPr>
        <w:pStyle w:val="ListParagraph"/>
        <w:numPr>
          <w:ilvl w:val="0"/>
          <w:numId w:val="2"/>
        </w:numPr>
        <w:spacing w:after="200"/>
      </w:pPr>
      <w:r>
        <w:t xml:space="preserve">Do not use the logo smaller than 1 inch / 72px wide</w:t>
      </w:r>
    </w:p>
    <w:p>
      <w:pPr>
        <w:pStyle w:val="Heading2"/>
      </w:pPr>
      <w:r>
        <w:t xml:space="preserve">Color Palette</w:t>
      </w:r>
    </w:p>
    <w:p>
      <w:pPr>
        <w:spacing w:after="200"/>
      </w:pPr>
      <w:r>
        <w:t xml:space="preserve">The LVFD palette draws from the spectrum of fire — from deep embers to bright flame tips — set against the darkness of night. These colors evoke both the heat and energy of performance and the warmth of community.</w:t>
      </w:r>
    </w:p>
    <w:p>
      <w:pPr>
        <w:pStyle w:val="Heading3"/>
      </w:pPr>
      <w:r>
        <w:t xml:space="preserve">Primary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A0A0A" w:val="clear"/>
            <w:tcMar>
              <w:top w:type="dxa" w:w="120"/>
              <w:left w:type="dxa" w:w="120"/>
              <w:bottom w:type="dxa" w:w="120"/>
              <w:right w:type="dxa" w:w="120"/>
            </w:tcMar>
          </w:tcPr>
          <w:p>
            <w:r>
              <w:rPr>
                <w:rFonts w:ascii="Arial" w:cs="Arial" w:eastAsia="Arial" w:hAnsi="Arial"/>
                <w:b/>
                <w:bCs/>
                <w:color w:val="FFFFFF"/>
                <w:sz w:val="20"/>
                <w:szCs w:val="20"/>
              </w:rPr>
              <w:t xml:space="preserve">Midnight Black</w:t>
            </w:r>
          </w:p>
          <w:p>
            <w:r>
              <w:rPr>
                <w:rFonts w:ascii="Arial" w:cs="Arial" w:eastAsia="Arial" w:hAnsi="Arial"/>
                <w:color w:val="DDDDDD"/>
                <w:sz w:val="18"/>
                <w:szCs w:val="18"/>
              </w:rPr>
              <w:t xml:space="preserve">#0A0A0A</w:t>
            </w:r>
          </w:p>
          <w:p>
            <w:r>
              <w:rPr>
                <w:rFonts w:ascii="Arial" w:cs="Arial" w:eastAsia="Arial" w:hAnsi="Arial"/>
                <w:color w:val="CCCCCC"/>
                <w:sz w:val="16"/>
                <w:szCs w:val="16"/>
              </w:rPr>
              <w:t xml:space="preserve">Backgrounds, primary dark</w:t>
            </w:r>
          </w:p>
        </w:tc>
        <w:tc>
          <w:tcPr>
            <w:tcW w:type="dxa" w:w="3120"/>
            <w:tcBorders>
              <w:top w:val="single" w:color="CCCCCC" w:sz="1"/>
              <w:left w:val="single" w:color="CCCCCC" w:sz="1"/>
              <w:bottom w:val="single" w:color="CCCCCC" w:sz="1"/>
              <w:right w:val="single" w:color="CCCCCC" w:sz="1"/>
            </w:tcBorders>
            <w:shd w:fill="FF4500" w:val="clear"/>
            <w:tcMar>
              <w:top w:type="dxa" w:w="120"/>
              <w:left w:type="dxa" w:w="120"/>
              <w:bottom w:type="dxa" w:w="120"/>
              <w:right w:type="dxa" w:w="120"/>
            </w:tcMar>
          </w:tcPr>
          <w:p>
            <w:r>
              <w:rPr>
                <w:rFonts w:ascii="Arial" w:cs="Arial" w:eastAsia="Arial" w:hAnsi="Arial"/>
                <w:b/>
                <w:bCs/>
                <w:color w:val="0A0A0A"/>
                <w:sz w:val="20"/>
                <w:szCs w:val="20"/>
              </w:rPr>
              <w:t xml:space="preserve">Ember Orange</w:t>
            </w:r>
          </w:p>
          <w:p>
            <w:r>
              <w:rPr>
                <w:rFonts w:ascii="Arial" w:cs="Arial" w:eastAsia="Arial" w:hAnsi="Arial"/>
                <w:color w:val="2D2D2D"/>
                <w:sz w:val="18"/>
                <w:szCs w:val="18"/>
              </w:rPr>
              <w:t xml:space="preserve">#FF4500</w:t>
            </w:r>
          </w:p>
          <w:p>
            <w:r>
              <w:rPr>
                <w:rFonts w:ascii="Arial" w:cs="Arial" w:eastAsia="Arial" w:hAnsi="Arial"/>
                <w:color w:val="2D2D2D"/>
                <w:sz w:val="16"/>
                <w:szCs w:val="16"/>
              </w:rPr>
              <w:t xml:space="preserve">Primary accent, CTAs, headers</w:t>
            </w:r>
          </w:p>
        </w:tc>
        <w:tc>
          <w:tcPr>
            <w:tcW w:type="dxa" w:w="3120"/>
            <w:tcBorders>
              <w:top w:val="single" w:color="CCCCCC" w:sz="1"/>
              <w:left w:val="single" w:color="CCCCCC" w:sz="1"/>
              <w:bottom w:val="single" w:color="CCCCCC" w:sz="1"/>
              <w:right w:val="single" w:color="CCCCCC" w:sz="1"/>
            </w:tcBorders>
            <w:shd w:fill="FF6B35" w:val="clear"/>
            <w:tcMar>
              <w:top w:type="dxa" w:w="120"/>
              <w:left w:type="dxa" w:w="120"/>
              <w:bottom w:type="dxa" w:w="120"/>
              <w:right w:type="dxa" w:w="120"/>
            </w:tcMar>
          </w:tcPr>
          <w:p>
            <w:r>
              <w:rPr>
                <w:rFonts w:ascii="Arial" w:cs="Arial" w:eastAsia="Arial" w:hAnsi="Arial"/>
                <w:b/>
                <w:bCs/>
                <w:color w:val="0A0A0A"/>
                <w:sz w:val="20"/>
                <w:szCs w:val="20"/>
              </w:rPr>
              <w:t xml:space="preserve">Flame Orange</w:t>
            </w:r>
          </w:p>
          <w:p>
            <w:r>
              <w:rPr>
                <w:rFonts w:ascii="Arial" w:cs="Arial" w:eastAsia="Arial" w:hAnsi="Arial"/>
                <w:color w:val="2D2D2D"/>
                <w:sz w:val="18"/>
                <w:szCs w:val="18"/>
              </w:rPr>
              <w:t xml:space="preserve">#FF6B35</w:t>
            </w:r>
          </w:p>
          <w:p>
            <w:r>
              <w:rPr>
                <w:rFonts w:ascii="Arial" w:cs="Arial" w:eastAsia="Arial" w:hAnsi="Arial"/>
                <w:color w:val="2D2D2D"/>
                <w:sz w:val="16"/>
                <w:szCs w:val="16"/>
              </w:rPr>
              <w:t xml:space="preserve">Secondary accent, highlights</w:t>
            </w:r>
          </w:p>
        </w:tc>
      </w:tr>
    </w:tbl>
    <w:p>
      <w:pPr>
        <w:pStyle w:val="Heading3"/>
        <w:spacing w:before="240"/>
      </w:pPr>
      <w:r>
        <w:t xml:space="preserve">Secondary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B347" w:val="clear"/>
            <w:tcMar>
              <w:top w:type="dxa" w:w="120"/>
              <w:left w:type="dxa" w:w="120"/>
              <w:bottom w:type="dxa" w:w="120"/>
              <w:right w:type="dxa" w:w="120"/>
            </w:tcMar>
          </w:tcPr>
          <w:p>
            <w:r>
              <w:rPr>
                <w:rFonts w:ascii="Arial" w:cs="Arial" w:eastAsia="Arial" w:hAnsi="Arial"/>
                <w:b/>
                <w:bCs/>
                <w:color w:val="0A0A0A"/>
                <w:sz w:val="20"/>
                <w:szCs w:val="20"/>
              </w:rPr>
              <w:t xml:space="preserve">Amber Glow</w:t>
            </w:r>
          </w:p>
          <w:p>
            <w:r>
              <w:rPr>
                <w:rFonts w:ascii="Arial" w:cs="Arial" w:eastAsia="Arial" w:hAnsi="Arial"/>
                <w:color w:val="2D2D2D"/>
                <w:sz w:val="18"/>
                <w:szCs w:val="18"/>
              </w:rPr>
              <w:t xml:space="preserve">#FFB347</w:t>
            </w:r>
          </w:p>
          <w:p>
            <w:r>
              <w:rPr>
                <w:rFonts w:ascii="Arial" w:cs="Arial" w:eastAsia="Arial" w:hAnsi="Arial"/>
                <w:color w:val="2D2D2D"/>
                <w:sz w:val="16"/>
                <w:szCs w:val="16"/>
              </w:rPr>
              <w:t xml:space="preserve">Warm accents</w:t>
            </w:r>
          </w:p>
        </w:tc>
        <w:tc>
          <w:tcPr>
            <w:tcW w:type="dxa" w:w="2340"/>
            <w:tcBorders>
              <w:top w:val="single" w:color="CCCCCC" w:sz="1"/>
              <w:left w:val="single" w:color="CCCCCC" w:sz="1"/>
              <w:bottom w:val="single" w:color="CCCCCC" w:sz="1"/>
              <w:right w:val="single" w:color="CCCCCC" w:sz="1"/>
            </w:tcBorders>
            <w:shd w:fill="FFC857" w:val="clear"/>
            <w:tcMar>
              <w:top w:type="dxa" w:w="120"/>
              <w:left w:type="dxa" w:w="120"/>
              <w:bottom w:type="dxa" w:w="120"/>
              <w:right w:type="dxa" w:w="120"/>
            </w:tcMar>
          </w:tcPr>
          <w:p>
            <w:r>
              <w:rPr>
                <w:rFonts w:ascii="Arial" w:cs="Arial" w:eastAsia="Arial" w:hAnsi="Arial"/>
                <w:b/>
                <w:bCs/>
                <w:color w:val="0A0A0A"/>
                <w:sz w:val="20"/>
                <w:szCs w:val="20"/>
              </w:rPr>
              <w:t xml:space="preserve">Gold Spark</w:t>
            </w:r>
          </w:p>
          <w:p>
            <w:r>
              <w:rPr>
                <w:rFonts w:ascii="Arial" w:cs="Arial" w:eastAsia="Arial" w:hAnsi="Arial"/>
                <w:color w:val="2D2D2D"/>
                <w:sz w:val="18"/>
                <w:szCs w:val="18"/>
              </w:rPr>
              <w:t xml:space="preserve">#FFC857</w:t>
            </w:r>
          </w:p>
          <w:p>
            <w:r>
              <w:rPr>
                <w:rFonts w:ascii="Arial" w:cs="Arial" w:eastAsia="Arial" w:hAnsi="Arial"/>
                <w:color w:val="2D2D2D"/>
                <w:sz w:val="16"/>
                <w:szCs w:val="16"/>
              </w:rPr>
              <w:t xml:space="preserve">Highlights, premium</w:t>
            </w:r>
          </w:p>
        </w:tc>
        <w:tc>
          <w:tcPr>
            <w:tcW w:type="dxa" w:w="2340"/>
            <w:tcBorders>
              <w:top w:val="single" w:color="CCCCCC" w:sz="1"/>
              <w:left w:val="single" w:color="CCCCCC" w:sz="1"/>
              <w:bottom w:val="single" w:color="CCCCCC" w:sz="1"/>
              <w:right w:val="single" w:color="CCCCCC" w:sz="1"/>
            </w:tcBorders>
            <w:shd w:fill="1A1A1A" w:val="clear"/>
            <w:tcMar>
              <w:top w:type="dxa" w:w="120"/>
              <w:left w:type="dxa" w:w="120"/>
              <w:bottom w:type="dxa" w:w="120"/>
              <w:right w:type="dxa" w:w="120"/>
            </w:tcMar>
          </w:tcPr>
          <w:p>
            <w:r>
              <w:rPr>
                <w:rFonts w:ascii="Arial" w:cs="Arial" w:eastAsia="Arial" w:hAnsi="Arial"/>
                <w:b/>
                <w:bCs/>
                <w:color w:val="FFFFFF"/>
                <w:sz w:val="20"/>
                <w:szCs w:val="20"/>
              </w:rPr>
              <w:t xml:space="preserve">Dark Charcoal</w:t>
            </w:r>
          </w:p>
          <w:p>
            <w:r>
              <w:rPr>
                <w:rFonts w:ascii="Arial" w:cs="Arial" w:eastAsia="Arial" w:hAnsi="Arial"/>
                <w:color w:val="DDDDDD"/>
                <w:sz w:val="18"/>
                <w:szCs w:val="18"/>
              </w:rPr>
              <w:t xml:space="preserve">#1A1A1A</w:t>
            </w:r>
          </w:p>
          <w:p>
            <w:r>
              <w:rPr>
                <w:rFonts w:ascii="Arial" w:cs="Arial" w:eastAsia="Arial" w:hAnsi="Arial"/>
                <w:color w:val="CCCCCC"/>
                <w:sz w:val="16"/>
                <w:szCs w:val="16"/>
              </w:rPr>
              <w:t xml:space="preserve">Alt backgrounds</w:t>
            </w:r>
          </w:p>
        </w:tc>
        <w:tc>
          <w:tcPr>
            <w:tcW w:type="dxa" w:w="2340"/>
            <w:tcBorders>
              <w:top w:val="single" w:color="CCCCCC" w:sz="1"/>
              <w:left w:val="single" w:color="CCCCCC" w:sz="1"/>
              <w:bottom w:val="single" w:color="CCCCCC" w:sz="1"/>
              <w:right w:val="single" w:color="CCCCCC" w:sz="1"/>
            </w:tcBorders>
            <w:shd w:fill="2D2D2D" w:val="clear"/>
            <w:tcMar>
              <w:top w:type="dxa" w:w="120"/>
              <w:left w:type="dxa" w:w="120"/>
              <w:bottom w:type="dxa" w:w="120"/>
              <w:right w:type="dxa" w:w="120"/>
            </w:tcMar>
          </w:tcPr>
          <w:p>
            <w:r>
              <w:rPr>
                <w:rFonts w:ascii="Arial" w:cs="Arial" w:eastAsia="Arial" w:hAnsi="Arial"/>
                <w:b/>
                <w:bCs/>
                <w:color w:val="FFFFFF"/>
                <w:sz w:val="20"/>
                <w:szCs w:val="20"/>
              </w:rPr>
              <w:t xml:space="preserve">Charcoal</w:t>
            </w:r>
          </w:p>
          <w:p>
            <w:r>
              <w:rPr>
                <w:rFonts w:ascii="Arial" w:cs="Arial" w:eastAsia="Arial" w:hAnsi="Arial"/>
                <w:color w:val="DDDDDD"/>
                <w:sz w:val="18"/>
                <w:szCs w:val="18"/>
              </w:rPr>
              <w:t xml:space="preserve">#2D2D2D</w:t>
            </w:r>
          </w:p>
          <w:p>
            <w:r>
              <w:rPr>
                <w:rFonts w:ascii="Arial" w:cs="Arial" w:eastAsia="Arial" w:hAnsi="Arial"/>
                <w:color w:val="CCCCCC"/>
                <w:sz w:val="16"/>
                <w:szCs w:val="16"/>
              </w:rPr>
              <w:t xml:space="preserve">Body text on light</w:t>
            </w:r>
          </w:p>
        </w:tc>
      </w:tr>
    </w:tbl>
    <w:p>
      <w:pPr>
        <w:pStyle w:val="Heading3"/>
        <w:spacing w:before="240"/>
      </w:pPr>
      <w:r>
        <w:t xml:space="preserve">Utility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b/>
                <w:bCs/>
                <w:color w:val="0A0A0A"/>
                <w:sz w:val="20"/>
                <w:szCs w:val="20"/>
              </w:rPr>
              <w:t xml:space="preserve">White</w:t>
            </w:r>
          </w:p>
          <w:p>
            <w:r>
              <w:rPr>
                <w:rFonts w:ascii="Arial" w:cs="Arial" w:eastAsia="Arial" w:hAnsi="Arial"/>
                <w:color w:val="2D2D2D"/>
                <w:sz w:val="18"/>
                <w:szCs w:val="18"/>
              </w:rPr>
              <w:t xml:space="preserve">#FFFFFF</w:t>
            </w:r>
          </w:p>
          <w:p>
            <w:r>
              <w:rPr>
                <w:rFonts w:ascii="Arial" w:cs="Arial" w:eastAsia="Arial" w:hAnsi="Arial"/>
                <w:color w:val="2D2D2D"/>
                <w:sz w:val="16"/>
                <w:szCs w:val="16"/>
              </w:rPr>
              <w:t xml:space="preserve">Text on dark, contrast</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Arial" w:cs="Arial" w:eastAsia="Arial" w:hAnsi="Arial"/>
                <w:b/>
                <w:bCs/>
                <w:color w:val="0A0A0A"/>
                <w:sz w:val="20"/>
                <w:szCs w:val="20"/>
              </w:rPr>
              <w:t xml:space="preserve">Light Gray</w:t>
            </w:r>
          </w:p>
          <w:p>
            <w:r>
              <w:rPr>
                <w:rFonts w:ascii="Arial" w:cs="Arial" w:eastAsia="Arial" w:hAnsi="Arial"/>
                <w:color w:val="2D2D2D"/>
                <w:sz w:val="18"/>
                <w:szCs w:val="18"/>
              </w:rPr>
              <w:t xml:space="preserve">#F5F5F5</w:t>
            </w:r>
          </w:p>
          <w:p>
            <w:r>
              <w:rPr>
                <w:rFonts w:ascii="Arial" w:cs="Arial" w:eastAsia="Arial" w:hAnsi="Arial"/>
                <w:color w:val="2D2D2D"/>
                <w:sz w:val="16"/>
                <w:szCs w:val="16"/>
              </w:rPr>
              <w:t xml:space="preserve">Subtle backgrounds</w:t>
            </w:r>
          </w:p>
        </w:tc>
        <w:tc>
          <w:tcPr>
            <w:tcW w:type="dxa" w:w="3120"/>
            <w:tcBorders>
              <w:top w:val="single" w:color="CCCCCC" w:sz="1"/>
              <w:left w:val="single" w:color="CCCCCC" w:sz="1"/>
              <w:bottom w:val="single" w:color="CCCCCC" w:sz="1"/>
              <w:right w:val="single" w:color="CCCCCC" w:sz="1"/>
            </w:tcBorders>
            <w:shd w:fill="2ECC71" w:val="clear"/>
            <w:tcMar>
              <w:top w:type="dxa" w:w="120"/>
              <w:left w:type="dxa" w:w="120"/>
              <w:bottom w:type="dxa" w:w="120"/>
              <w:right w:type="dxa" w:w="120"/>
            </w:tcMar>
          </w:tcPr>
          <w:p>
            <w:r>
              <w:rPr>
                <w:rFonts w:ascii="Arial" w:cs="Arial" w:eastAsia="Arial" w:hAnsi="Arial"/>
                <w:b/>
                <w:bCs/>
                <w:color w:val="FFFFFF"/>
                <w:sz w:val="20"/>
                <w:szCs w:val="20"/>
              </w:rPr>
              <w:t xml:space="preserve">Safety Green</w:t>
            </w:r>
          </w:p>
          <w:p>
            <w:r>
              <w:rPr>
                <w:rFonts w:ascii="Arial" w:cs="Arial" w:eastAsia="Arial" w:hAnsi="Arial"/>
                <w:color w:val="DDDDDD"/>
                <w:sz w:val="18"/>
                <w:szCs w:val="18"/>
              </w:rPr>
              <w:t xml:space="preserve">#2ECC71</w:t>
            </w:r>
          </w:p>
          <w:p>
            <w:r>
              <w:rPr>
                <w:rFonts w:ascii="Arial" w:cs="Arial" w:eastAsia="Arial" w:hAnsi="Arial"/>
                <w:color w:val="CCCCCC"/>
                <w:sz w:val="16"/>
                <w:szCs w:val="16"/>
              </w:rPr>
              <w:t xml:space="preserve">Safety-related content</w:t>
            </w:r>
          </w:p>
        </w:tc>
      </w:tr>
    </w:tbl>
    <w:p>
      <w:pPr>
        <w:spacing w:before="240" w:after="200"/>
      </w:pPr>
      <w:r>
        <w:rPr>
          <w:b/>
          <w:bCs/>
        </w:rPr>
        <w:t xml:space="preserve">Color Usage Rules: </w:t>
      </w:r>
      <w:r>
        <w:t xml:space="preserve">Dark backgrounds (Midnight Black or Dark Charcoal) should be the dominant surface in all brand materials. Ember Orange is the primary action color used for buttons, links, and key headlines. Never use Ember Orange as a background color for large areas — it should remain an accent. Safety Green is reserved exclusively for safety-related content, badges, and callouts.</w:t>
      </w:r>
    </w:p>
    <w:p>
      <w:r>
        <w:br w:type="page"/>
      </w:r>
    </w:p>
    <w:p>
      <w:pPr>
        <w:pStyle w:val="Heading2"/>
      </w:pPr>
      <w:r>
        <w:t xml:space="preserve">Typography</w:t>
      </w:r>
    </w:p>
    <w:p>
      <w:pPr>
        <w:spacing w:after="200"/>
      </w:pPr>
      <w:r>
        <w:t xml:space="preserve">Typography should feel bold and energetic while remaining highly legible. The type system uses a display/body pairing that reflects both the drama of fire performance and the clarity needed for safety information.</w:t>
      </w:r>
    </w:p>
    <w:p>
      <w:pPr>
        <w:pStyle w:val="Heading3"/>
      </w:pPr>
      <w:r>
        <w:t xml:space="preserve">Primary Typefaces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1A" w:val="clear"/>
            <w:tcMar>
              <w:top w:type="dxa" w:w="120"/>
              <w:left w:type="dxa" w:w="120"/>
              <w:bottom w:type="dxa" w:w="120"/>
              <w:right w:type="dxa" w:w="120"/>
            </w:tcMar>
          </w:tcPr>
          <w:p>
            <w:r>
              <w:rPr>
                <w:rFonts w:ascii="Arial" w:cs="Arial" w:eastAsia="Arial" w:hAnsi="Arial"/>
                <w:b/>
                <w:bCs/>
                <w:color w:val="FFB347"/>
                <w:sz w:val="18"/>
                <w:szCs w:val="18"/>
              </w:rPr>
              <w:t xml:space="preserve">Usage</w:t>
            </w:r>
          </w:p>
        </w:tc>
        <w:tc>
          <w:tcPr>
            <w:tcW w:type="dxa" w:w="2340"/>
            <w:tcBorders>
              <w:top w:val="single" w:color="CCCCCC" w:sz="1"/>
              <w:left w:val="single" w:color="CCCCCC" w:sz="1"/>
              <w:bottom w:val="single" w:color="CCCCCC" w:sz="1"/>
              <w:right w:val="single" w:color="CCCCCC" w:sz="1"/>
            </w:tcBorders>
            <w:shd w:fill="1A1A1A" w:val="clear"/>
            <w:tcMar>
              <w:top w:type="dxa" w:w="120"/>
              <w:left w:type="dxa" w:w="120"/>
              <w:bottom w:type="dxa" w:w="120"/>
              <w:right w:type="dxa" w:w="120"/>
            </w:tcMar>
          </w:tcPr>
          <w:p>
            <w:r>
              <w:rPr>
                <w:rFonts w:ascii="Arial" w:cs="Arial" w:eastAsia="Arial" w:hAnsi="Arial"/>
                <w:b/>
                <w:bCs/>
                <w:color w:val="FFB347"/>
                <w:sz w:val="18"/>
                <w:szCs w:val="18"/>
              </w:rPr>
              <w:t xml:space="preserve">Typeface</w:t>
            </w:r>
          </w:p>
        </w:tc>
        <w:tc>
          <w:tcPr>
            <w:tcW w:type="dxa" w:w="2340"/>
            <w:tcBorders>
              <w:top w:val="single" w:color="CCCCCC" w:sz="1"/>
              <w:left w:val="single" w:color="CCCCCC" w:sz="1"/>
              <w:bottom w:val="single" w:color="CCCCCC" w:sz="1"/>
              <w:right w:val="single" w:color="CCCCCC" w:sz="1"/>
            </w:tcBorders>
            <w:shd w:fill="1A1A1A" w:val="clear"/>
            <w:tcMar>
              <w:top w:type="dxa" w:w="120"/>
              <w:left w:type="dxa" w:w="120"/>
              <w:bottom w:type="dxa" w:w="120"/>
              <w:right w:type="dxa" w:w="120"/>
            </w:tcMar>
          </w:tcPr>
          <w:p>
            <w:r>
              <w:rPr>
                <w:rFonts w:ascii="Arial" w:cs="Arial" w:eastAsia="Arial" w:hAnsi="Arial"/>
                <w:b/>
                <w:bCs/>
                <w:color w:val="FFB347"/>
                <w:sz w:val="18"/>
                <w:szCs w:val="18"/>
              </w:rPr>
              <w:t xml:space="preserve">Weight</w:t>
            </w:r>
          </w:p>
        </w:tc>
        <w:tc>
          <w:tcPr>
            <w:tcW w:type="dxa" w:w="2340"/>
            <w:tcBorders>
              <w:top w:val="single" w:color="CCCCCC" w:sz="1"/>
              <w:left w:val="single" w:color="CCCCCC" w:sz="1"/>
              <w:bottom w:val="single" w:color="CCCCCC" w:sz="1"/>
              <w:right w:val="single" w:color="CCCCCC" w:sz="1"/>
            </w:tcBorders>
            <w:shd w:fill="1A1A1A" w:val="clear"/>
            <w:tcMar>
              <w:top w:type="dxa" w:w="120"/>
              <w:left w:type="dxa" w:w="120"/>
              <w:bottom w:type="dxa" w:w="120"/>
              <w:right w:type="dxa" w:w="120"/>
            </w:tcMar>
          </w:tcPr>
          <w:p>
            <w:r>
              <w:rPr>
                <w:rFonts w:ascii="Arial" w:cs="Arial" w:eastAsia="Arial" w:hAnsi="Arial"/>
                <w:b/>
                <w:bCs/>
                <w:color w:val="FFB347"/>
                <w:sz w:val="18"/>
                <w:szCs w:val="18"/>
              </w:rPr>
              <w:t xml:space="preserve">Fallback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 Headlines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Rajdhani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Bold (700)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Arial Black, sans-serif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 UI 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Outfit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 Semi (600)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Arial, Helvetica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 / Monospace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Mono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Courier New, mono</w:t>
            </w:r>
          </w:p>
        </w:tc>
      </w:tr>
    </w:tbl>
    <w:p>
      <w:pPr>
        <w:pStyle w:val="Heading3"/>
        <w:spacing w:before="240"/>
      </w:pPr>
      <w:r>
        <w:t xml:space="preserve">Type Scale (Web)</w:t>
      </w:r>
    </w:p>
    <w:p>
      <w:pPr>
        <w:pStyle w:val="ListParagraph"/>
        <w:numPr>
          <w:ilvl w:val="0"/>
          <w:numId w:val="2"/>
        </w:numPr>
        <w:spacing w:after="60"/>
      </w:pPr>
      <w:r>
        <w:rPr>
          <w:b/>
          <w:bCs/>
        </w:rPr>
        <w:t xml:space="preserve">Hero Display: </w:t>
      </w:r>
      <w:r>
        <w:t xml:space="preserve">64–80px / Rajdhani Bold / uppercase / letter-spacing: 0.05em</w:t>
      </w:r>
    </w:p>
    <w:p>
      <w:pPr>
        <w:pStyle w:val="ListParagraph"/>
        <w:numPr>
          <w:ilvl w:val="0"/>
          <w:numId w:val="2"/>
        </w:numPr>
        <w:spacing w:after="60"/>
      </w:pPr>
      <w:r>
        <w:rPr>
          <w:b/>
          <w:bCs/>
        </w:rPr>
        <w:t xml:space="preserve">Section Heading (H1): </w:t>
      </w:r>
      <w:r>
        <w:t xml:space="preserve">40–48px / Rajdhani Bold / uppercase</w:t>
      </w:r>
    </w:p>
    <w:p>
      <w:pPr>
        <w:pStyle w:val="ListParagraph"/>
        <w:numPr>
          <w:ilvl w:val="0"/>
          <w:numId w:val="2"/>
        </w:numPr>
        <w:spacing w:after="60"/>
      </w:pPr>
      <w:r>
        <w:rPr>
          <w:b/>
          <w:bCs/>
        </w:rPr>
        <w:t xml:space="preserve">Subsection (H2): </w:t>
      </w:r>
      <w:r>
        <w:t xml:space="preserve">28–32px / Rajdhani Bold</w:t>
      </w:r>
    </w:p>
    <w:p>
      <w:pPr>
        <w:pStyle w:val="ListParagraph"/>
        <w:numPr>
          <w:ilvl w:val="0"/>
          <w:numId w:val="2"/>
        </w:numPr>
        <w:spacing w:after="60"/>
      </w:pPr>
      <w:r>
        <w:rPr>
          <w:b/>
          <w:bCs/>
        </w:rPr>
        <w:t xml:space="preserve">Card Title (H3): </w:t>
      </w:r>
      <w:r>
        <w:t xml:space="preserve">20–24px / Outfit SemiBold</w:t>
      </w:r>
    </w:p>
    <w:p>
      <w:pPr>
        <w:pStyle w:val="ListParagraph"/>
        <w:numPr>
          <w:ilvl w:val="0"/>
          <w:numId w:val="2"/>
        </w:numPr>
        <w:spacing w:after="60"/>
      </w:pPr>
      <w:r>
        <w:rPr>
          <w:b/>
          <w:bCs/>
        </w:rPr>
        <w:t xml:space="preserve">Body: </w:t>
      </w:r>
      <w:r>
        <w:t xml:space="preserve">16–18px / Outfit Regular / line-height: 1.6</w:t>
      </w:r>
    </w:p>
    <w:p>
      <w:pPr>
        <w:pStyle w:val="ListParagraph"/>
        <w:numPr>
          <w:ilvl w:val="0"/>
          <w:numId w:val="2"/>
        </w:numPr>
        <w:spacing w:after="200"/>
      </w:pPr>
      <w:r>
        <w:rPr>
          <w:b/>
          <w:bCs/>
        </w:rPr>
        <w:t xml:space="preserve">Caption/Meta: </w:t>
      </w:r>
      <w:r>
        <w:t xml:space="preserve">12–14px / Space Mono / uppercase / letter-spacing: 0.1em</w:t>
      </w:r>
    </w:p>
    <w:p>
      <w:pPr>
        <w:pStyle w:val="Heading2"/>
      </w:pPr>
      <w:r>
        <w:t xml:space="preserve">Imagery &amp; Photography Guidelines</w:t>
      </w:r>
    </w:p>
    <w:p>
      <w:pPr>
        <w:spacing w:after="100"/>
      </w:pPr>
      <w:r>
        <w:t xml:space="preserve">All imagery should convey energy, community, and the beauty of fire arts while projecting professionalism and safety.</w:t>
      </w:r>
    </w:p>
    <w:p>
      <w:pPr>
        <w:pStyle w:val="Heading3"/>
      </w:pPr>
      <w:r>
        <w:t xml:space="preserve">Photography Style</w:t>
      </w:r>
    </w:p>
    <w:p>
      <w:pPr>
        <w:pStyle w:val="ListParagraph"/>
        <w:numPr>
          <w:ilvl w:val="0"/>
          <w:numId w:val="2"/>
        </w:numPr>
        <w:spacing w:after="80"/>
      </w:pPr>
      <w:r>
        <w:rPr>
          <w:b/>
          <w:bCs/>
        </w:rPr>
        <w:t xml:space="preserve">Lighting: </w:t>
      </w:r>
      <w:r>
        <w:t xml:space="preserve">Dramatic, fire-lit. Embrace the contrast of bright flames against dark night skies.</w:t>
      </w:r>
    </w:p>
    <w:p>
      <w:pPr>
        <w:pStyle w:val="ListParagraph"/>
        <w:numPr>
          <w:ilvl w:val="0"/>
          <w:numId w:val="2"/>
        </w:numPr>
        <w:spacing w:after="80"/>
      </w:pPr>
      <w:r>
        <w:rPr>
          <w:b/>
          <w:bCs/>
        </w:rPr>
        <w:t xml:space="preserve">Color Treatment: </w:t>
      </w:r>
      <w:r>
        <w:t xml:space="preserve">Warm tones dominant. Desaturate non-fire elements slightly to make flames pop.</w:t>
      </w:r>
    </w:p>
    <w:p>
      <w:pPr>
        <w:pStyle w:val="ListParagraph"/>
        <w:numPr>
          <w:ilvl w:val="0"/>
          <w:numId w:val="2"/>
        </w:numPr>
        <w:spacing w:after="80"/>
      </w:pPr>
      <w:r>
        <w:rPr>
          <w:b/>
          <w:bCs/>
        </w:rPr>
        <w:t xml:space="preserve">Subjects: </w:t>
      </w:r>
      <w:r>
        <w:t xml:space="preserve">Active performers, community gatherings, safety preparations, learning moments.</w:t>
      </w:r>
    </w:p>
    <w:p>
      <w:pPr>
        <w:pStyle w:val="ListParagraph"/>
        <w:numPr>
          <w:ilvl w:val="0"/>
          <w:numId w:val="2"/>
        </w:numPr>
        <w:spacing w:after="80"/>
      </w:pPr>
      <w:r>
        <w:rPr>
          <w:b/>
          <w:bCs/>
        </w:rPr>
        <w:t xml:space="preserve">Avoid: </w:t>
      </w:r>
      <w:r>
        <w:t xml:space="preserve">Reckless-looking behavior, overcrowded unsafe scenes, alcohol, or anything that undermines the safety-first message.</w:t>
      </w:r>
    </w:p>
    <w:p>
      <w:pPr>
        <w:pStyle w:val="ListParagraph"/>
        <w:numPr>
          <w:ilvl w:val="0"/>
          <w:numId w:val="2"/>
        </w:numPr>
        <w:spacing w:after="200"/>
      </w:pPr>
      <w:r>
        <w:rPr>
          <w:b/>
          <w:bCs/>
        </w:rPr>
        <w:t xml:space="preserve">Composition: </w:t>
      </w:r>
      <w:r>
        <w:t xml:space="preserve">Dynamic angles and motion blur are encouraged. Capture the movement and flow of the art.</w:t>
      </w:r>
    </w:p>
    <w:p>
      <w:pPr>
        <w:pStyle w:val="Heading2"/>
      </w:pPr>
      <w:r>
        <w:t xml:space="preserve">Icons &amp; Graphic Elements</w:t>
      </w:r>
    </w:p>
    <w:p>
      <w:pPr>
        <w:pStyle w:val="ListParagraph"/>
        <w:numPr>
          <w:ilvl w:val="0"/>
          <w:numId w:val="2"/>
        </w:numPr>
        <w:spacing w:after="80"/>
      </w:pPr>
      <w:r>
        <w:rPr>
          <w:b/>
          <w:bCs/>
        </w:rPr>
        <w:t xml:space="preserve">Icon Style: </w:t>
      </w:r>
      <w:r>
        <w:t xml:space="preserve">Line-weight icons with rounded edges. Ember Orange or White on dark backgrounds.</w:t>
      </w:r>
    </w:p>
    <w:p>
      <w:pPr>
        <w:pStyle w:val="ListParagraph"/>
        <w:numPr>
          <w:ilvl w:val="0"/>
          <w:numId w:val="2"/>
        </w:numPr>
        <w:spacing w:after="80"/>
      </w:pPr>
      <w:r>
        <w:rPr>
          <w:b/>
          <w:bCs/>
        </w:rPr>
        <w:t xml:space="preserve">Graphic Textures: </w:t>
      </w:r>
      <w:r>
        <w:t xml:space="preserve">Subtle ember particle overlays, heat-haze gradients, and faint smoke wisps may be used as decorative elements.</w:t>
      </w:r>
    </w:p>
    <w:p>
      <w:pPr>
        <w:pStyle w:val="ListParagraph"/>
        <w:numPr>
          <w:ilvl w:val="0"/>
          <w:numId w:val="2"/>
        </w:numPr>
        <w:spacing w:after="200"/>
      </w:pPr>
      <w:r>
        <w:rPr>
          <w:b/>
          <w:bCs/>
        </w:rPr>
        <w:t xml:space="preserve">Dividers: </w:t>
      </w:r>
      <w:r>
        <w:t xml:space="preserve">Use gradient lines fading from Ember Orange to transparent, or thin ruled lines in Charcoal.</w:t>
      </w:r>
    </w:p>
    <w:p>
      <w:r>
        <w:br w:type="page"/>
      </w:r>
    </w:p>
    <w:p>
      <w:pPr>
        <w:pStyle w:val="Heading1"/>
      </w:pPr>
      <w:r>
        <w:t xml:space="preserve">3. Sponsor Attribution</w:t>
      </w:r>
    </w:p>
    <w:p>
      <w:pPr>
        <w:spacing w:after="200"/>
      </w:pPr>
      <w:r>
        <w:t xml:space="preserve">Las Vegas Fire Dancers is made possible through a grant and sponsorship from two key partners. Proper attribution is required on all official materials.</w:t>
      </w:r>
    </w:p>
    <w:p>
      <w:pPr>
        <w:pStyle w:val="Heading2"/>
      </w:pPr>
      <w:r>
        <w:t xml:space="preserve">Fund the Flow Arts</w:t>
      </w:r>
    </w:p>
    <w:p>
      <w:pPr>
        <w:pStyle w:val="ListParagraph"/>
        <w:numPr>
          <w:ilvl w:val="0"/>
          <w:numId w:val="2"/>
        </w:numPr>
        <w:spacing w:after="80"/>
      </w:pPr>
      <w:r>
        <w:t xml:space="preserve">Must appear on all official event materials, website footer, and social media profiles</w:t>
      </w:r>
    </w:p>
    <w:p>
      <w:pPr>
        <w:pStyle w:val="ListParagraph"/>
        <w:numPr>
          <w:ilvl w:val="0"/>
          <w:numId w:val="2"/>
        </w:numPr>
        <w:spacing w:after="80"/>
      </w:pPr>
      <w:r>
        <w:t xml:space="preserve">Attribution line: “Funded by Fund the Flow Arts” or “Made possible by a grant from Fund the Flow Arts”</w:t>
      </w:r>
    </w:p>
    <w:p>
      <w:pPr>
        <w:pStyle w:val="ListParagraph"/>
        <w:numPr>
          <w:ilvl w:val="0"/>
          <w:numId w:val="2"/>
        </w:numPr>
        <w:spacing w:after="200"/>
      </w:pPr>
      <w:r>
        <w:t xml:space="preserve">Logo should be displayed at minimum 60% the size of the LVFD logo in co-branded materials</w:t>
      </w:r>
    </w:p>
    <w:p>
      <w:pPr>
        <w:pStyle w:val="Heading2"/>
      </w:pPr>
      <w:r>
        <w:t xml:space="preserve">Pyrotechnique</w:t>
      </w:r>
    </w:p>
    <w:p>
      <w:pPr>
        <w:pStyle w:val="ListParagraph"/>
        <w:numPr>
          <w:ilvl w:val="0"/>
          <w:numId w:val="2"/>
        </w:numPr>
        <w:spacing w:after="80"/>
      </w:pPr>
      <w:r>
        <w:t xml:space="preserve">Must appear on all official event materials as a sponsor</w:t>
      </w:r>
    </w:p>
    <w:p>
      <w:pPr>
        <w:pStyle w:val="ListParagraph"/>
        <w:numPr>
          <w:ilvl w:val="0"/>
          <w:numId w:val="2"/>
        </w:numPr>
        <w:spacing w:after="80"/>
      </w:pPr>
      <w:r>
        <w:t xml:space="preserve">Attribution line: “Sponsored by Pyrotechnique”</w:t>
      </w:r>
    </w:p>
    <w:p>
      <w:pPr>
        <w:pStyle w:val="ListParagraph"/>
        <w:numPr>
          <w:ilvl w:val="0"/>
          <w:numId w:val="2"/>
        </w:numPr>
        <w:spacing w:after="200"/>
      </w:pPr>
      <w:r>
        <w:t xml:space="preserve">Logo should be displayed alongside Fund the Flow Arts in the sponsor section</w:t>
      </w:r>
    </w:p>
    <w:p>
      <w:pPr>
        <w:pStyle w:val="Heading1"/>
      </w:pPr>
      <w:r>
        <w:t xml:space="preserve">4. Social Media Guidelines</w:t>
      </w:r>
    </w:p>
    <w:p>
      <w:pPr>
        <w:pStyle w:val="Heading2"/>
      </w:pPr>
      <w:r>
        <w:t xml:space="preserve">Platform Presence</w:t>
      </w:r>
    </w:p>
    <w:p>
      <w:pPr>
        <w:pStyle w:val="ListParagraph"/>
        <w:numPr>
          <w:ilvl w:val="0"/>
          <w:numId w:val="2"/>
        </w:numPr>
        <w:spacing w:after="80"/>
      </w:pPr>
      <w:r>
        <w:rPr>
          <w:b/>
          <w:bCs/>
        </w:rPr>
        <w:t xml:space="preserve">Instagram: </w:t>
      </w:r>
      <w:r>
        <w:t xml:space="preserve">@LasVegasFireDancers — Primary platform for visual content, event announcements, and community highlights</w:t>
      </w:r>
    </w:p>
    <w:p>
      <w:pPr>
        <w:pStyle w:val="ListParagraph"/>
        <w:numPr>
          <w:ilvl w:val="0"/>
          <w:numId w:val="2"/>
        </w:numPr>
        <w:spacing w:after="80"/>
      </w:pPr>
      <w:r>
        <w:rPr>
          <w:b/>
          <w:bCs/>
        </w:rPr>
        <w:t xml:space="preserve">Facebook: </w:t>
      </w:r>
      <w:r>
        <w:t xml:space="preserve">Las Vegas Fire Dancers — Event pages, community group, longer-form content</w:t>
      </w:r>
    </w:p>
    <w:p>
      <w:pPr>
        <w:pStyle w:val="ListParagraph"/>
        <w:numPr>
          <w:ilvl w:val="0"/>
          <w:numId w:val="2"/>
        </w:numPr>
        <w:spacing w:after="80"/>
      </w:pPr>
      <w:r>
        <w:rPr>
          <w:b/>
          <w:bCs/>
        </w:rPr>
        <w:t xml:space="preserve">TikTok: </w:t>
      </w:r>
      <w:r>
        <w:t xml:space="preserve">@LVFireDancers — Short-form performance clips, tutorials, behind-the-scenes</w:t>
      </w:r>
    </w:p>
    <w:p>
      <w:pPr>
        <w:pStyle w:val="ListParagraph"/>
        <w:numPr>
          <w:ilvl w:val="0"/>
          <w:numId w:val="2"/>
        </w:numPr>
        <w:spacing w:after="200"/>
      </w:pPr>
      <w:r>
        <w:rPr>
          <w:b/>
          <w:bCs/>
        </w:rPr>
        <w:t xml:space="preserve">YouTube: </w:t>
      </w:r>
      <w:r>
        <w:t xml:space="preserve">Las Vegas Fire Dancers — Full performances, safety tutorials, workshop recordings</w:t>
      </w:r>
    </w:p>
    <w:p>
      <w:pPr>
        <w:pStyle w:val="Heading2"/>
      </w:pPr>
      <w:r>
        <w:t xml:space="preserve">Content Pillars</w:t>
      </w:r>
    </w:p>
    <w:p>
      <w:pPr>
        <w:pStyle w:val="ListParagraph"/>
        <w:numPr>
          <w:ilvl w:val="0"/>
          <w:numId w:val="3"/>
        </w:numPr>
        <w:spacing w:after="80"/>
      </w:pPr>
      <w:r>
        <w:rPr>
          <w:b/>
          <w:bCs/>
        </w:rPr>
        <w:t xml:space="preserve">Event Promotion (30%): </w:t>
      </w:r>
      <w:r>
        <w:t xml:space="preserve">Weekly jam announcements, countdowns, location details</w:t>
      </w:r>
    </w:p>
    <w:p>
      <w:pPr>
        <w:pStyle w:val="ListParagraph"/>
        <w:numPr>
          <w:ilvl w:val="0"/>
          <w:numId w:val="3"/>
        </w:numPr>
        <w:spacing w:after="80"/>
      </w:pPr>
      <w:r>
        <w:rPr>
          <w:b/>
          <w:bCs/>
        </w:rPr>
        <w:t xml:space="preserve">Community Spotlight (25%): </w:t>
      </w:r>
      <w:r>
        <w:t xml:space="preserve">Member features, skill progression stories, group photos</w:t>
      </w:r>
    </w:p>
    <w:p>
      <w:pPr>
        <w:pStyle w:val="ListParagraph"/>
        <w:numPr>
          <w:ilvl w:val="0"/>
          <w:numId w:val="3"/>
        </w:numPr>
        <w:spacing w:after="80"/>
      </w:pPr>
      <w:r>
        <w:rPr>
          <w:b/>
          <w:bCs/>
        </w:rPr>
        <w:t xml:space="preserve">Education &amp; Safety (20%): </w:t>
      </w:r>
      <w:r>
        <w:t xml:space="preserve">Safety tips, technique tutorials, fuel safety, equipment care</w:t>
      </w:r>
    </w:p>
    <w:p>
      <w:pPr>
        <w:pStyle w:val="ListParagraph"/>
        <w:numPr>
          <w:ilvl w:val="0"/>
          <w:numId w:val="3"/>
        </w:numPr>
        <w:spacing w:after="80"/>
      </w:pPr>
      <w:r>
        <w:rPr>
          <w:b/>
          <w:bCs/>
        </w:rPr>
        <w:t xml:space="preserve">Performance Content (15%): </w:t>
      </w:r>
      <w:r>
        <w:t xml:space="preserve">Slow-motion clips, photo galleries, choreography highlights</w:t>
      </w:r>
    </w:p>
    <w:p>
      <w:pPr>
        <w:pStyle w:val="ListParagraph"/>
        <w:numPr>
          <w:ilvl w:val="0"/>
          <w:numId w:val="3"/>
        </w:numPr>
        <w:spacing w:after="200"/>
      </w:pPr>
      <w:r>
        <w:rPr>
          <w:b/>
          <w:bCs/>
        </w:rPr>
        <w:t xml:space="preserve">Sponsor &amp; Partner Content (10%): </w:t>
      </w:r>
      <w:r>
        <w:t xml:space="preserve">Sponsor acknowledgments, partner events, grant updates</w:t>
      </w:r>
    </w:p>
    <w:p>
      <w:pPr>
        <w:pStyle w:val="Heading2"/>
      </w:pPr>
      <w:r>
        <w:t xml:space="preserve">Hashtag Strategy</w:t>
      </w:r>
    </w:p>
    <w:p>
      <w:pPr>
        <w:spacing w:after="80"/>
      </w:pPr>
      <w:r>
        <w:rPr>
          <w:b/>
          <w:bCs/>
        </w:rPr>
        <w:t xml:space="preserve">Primary: </w:t>
      </w:r>
      <w:r>
        <w:t xml:space="preserve">#LasVegasFireDancers  #LVFireDancers  #LVFDJam</w:t>
      </w:r>
    </w:p>
    <w:p>
      <w:pPr>
        <w:spacing w:after="80"/>
      </w:pPr>
      <w:r>
        <w:rPr>
          <w:b/>
          <w:bCs/>
        </w:rPr>
        <w:t xml:space="preserve">Community: </w:t>
      </w:r>
      <w:r>
        <w:t xml:space="preserve">#FlowArts  #FireFlow  #FireCommunity  #SpinLife  #FlowFamily</w:t>
      </w:r>
    </w:p>
    <w:p>
      <w:pPr>
        <w:spacing w:after="80"/>
      </w:pPr>
      <w:r>
        <w:rPr>
          <w:b/>
          <w:bCs/>
        </w:rPr>
        <w:t xml:space="preserve">Safety: </w:t>
      </w:r>
      <w:r>
        <w:t xml:space="preserve">#SafeSpins  #FireSafety  #ResponsibleFlow</w:t>
      </w:r>
    </w:p>
    <w:p>
      <w:pPr>
        <w:spacing w:after="200"/>
      </w:pPr>
      <w:r>
        <w:rPr>
          <w:b/>
          <w:bCs/>
        </w:rPr>
        <w:t xml:space="preserve">Location: </w:t>
      </w:r>
      <w:r>
        <w:t xml:space="preserve">#LasVegas  #VegasNights  #DowntownVegas  #VegasArts</w:t>
      </w:r>
    </w:p>
    <w:p>
      <w:pPr>
        <w:pStyle w:val="Heading2"/>
      </w:pPr>
      <w:r>
        <w:t xml:space="preserve">Social Media Visual Standards</w:t>
      </w:r>
    </w:p>
    <w:p>
      <w:pPr>
        <w:pStyle w:val="ListParagraph"/>
        <w:numPr>
          <w:ilvl w:val="0"/>
          <w:numId w:val="2"/>
        </w:numPr>
        <w:spacing w:after="80"/>
      </w:pPr>
      <w:r>
        <w:t xml:space="preserve">Profile photos: Use the LVFD monogram/icon on black background</w:t>
      </w:r>
    </w:p>
    <w:p>
      <w:pPr>
        <w:pStyle w:val="ListParagraph"/>
        <w:numPr>
          <w:ilvl w:val="0"/>
          <w:numId w:val="2"/>
        </w:numPr>
        <w:spacing w:after="80"/>
      </w:pPr>
      <w:r>
        <w:t xml:space="preserve">Cover/banner images: Dark backgrounds with fire imagery, event details in Rajdhani Bold</w:t>
      </w:r>
    </w:p>
    <w:p>
      <w:pPr>
        <w:pStyle w:val="ListParagraph"/>
        <w:numPr>
          <w:ilvl w:val="0"/>
          <w:numId w:val="2"/>
        </w:numPr>
        <w:spacing w:after="80"/>
      </w:pPr>
      <w:r>
        <w:t xml:space="preserve">Post templates: Black background, Ember Orange accent bar at top or bottom, white text</w:t>
      </w:r>
    </w:p>
    <w:p>
      <w:pPr>
        <w:pStyle w:val="ListParagraph"/>
        <w:numPr>
          <w:ilvl w:val="0"/>
          <w:numId w:val="2"/>
        </w:numPr>
        <w:spacing w:after="200"/>
      </w:pPr>
      <w:r>
        <w:t xml:space="preserve">Stories: Use branded templates with flame particle overlay and sponsor logos</w:t>
      </w:r>
    </w:p>
    <w:p>
      <w:r>
        <w:br w:type="page"/>
      </w:r>
    </w:p>
    <w:p>
      <w:pPr>
        <w:pStyle w:val="Heading1"/>
      </w:pPr>
      <w:r>
        <w:t xml:space="preserve">5. Brand Applications</w:t>
      </w:r>
    </w:p>
    <w:p>
      <w:pPr>
        <w:pStyle w:val="Heading2"/>
      </w:pPr>
      <w:r>
        <w:t xml:space="preserve">Website</w:t>
      </w:r>
    </w:p>
    <w:p>
      <w:pPr>
        <w:pStyle w:val="ListParagraph"/>
        <w:numPr>
          <w:ilvl w:val="0"/>
          <w:numId w:val="2"/>
        </w:numPr>
        <w:spacing w:after="80"/>
      </w:pPr>
      <w:r>
        <w:t xml:space="preserve">Dark-themed single-page application with smooth scroll navigation</w:t>
      </w:r>
    </w:p>
    <w:p>
      <w:pPr>
        <w:pStyle w:val="ListParagraph"/>
        <w:numPr>
          <w:ilvl w:val="0"/>
          <w:numId w:val="2"/>
        </w:numPr>
        <w:spacing w:after="80"/>
      </w:pPr>
      <w:r>
        <w:t xml:space="preserve">Hero section with animated fire particle effects and event countdown</w:t>
      </w:r>
    </w:p>
    <w:p>
      <w:pPr>
        <w:pStyle w:val="ListParagraph"/>
        <w:numPr>
          <w:ilvl w:val="0"/>
          <w:numId w:val="2"/>
        </w:numPr>
        <w:spacing w:after="80"/>
      </w:pPr>
      <w:r>
        <w:t xml:space="preserve">Sections: About, Schedule, Safety, Community, Sponsors, Contact</w:t>
      </w:r>
    </w:p>
    <w:p>
      <w:pPr>
        <w:pStyle w:val="ListParagraph"/>
        <w:numPr>
          <w:ilvl w:val="0"/>
          <w:numId w:val="2"/>
        </w:numPr>
        <w:spacing w:after="200"/>
      </w:pPr>
      <w:r>
        <w:t xml:space="preserve">Mobile-first responsive design with fast loading times</w:t>
      </w:r>
    </w:p>
    <w:p>
      <w:pPr>
        <w:pStyle w:val="Heading2"/>
      </w:pPr>
      <w:r>
        <w:t xml:space="preserve">Event Materials</w:t>
      </w:r>
    </w:p>
    <w:p>
      <w:pPr>
        <w:pStyle w:val="ListParagraph"/>
        <w:numPr>
          <w:ilvl w:val="0"/>
          <w:numId w:val="2"/>
        </w:numPr>
        <w:spacing w:after="80"/>
      </w:pPr>
      <w:r>
        <w:t xml:space="preserve">Event banners: Black with Ember Orange accent stripe, large Rajdhani Bold headline</w:t>
      </w:r>
    </w:p>
    <w:p>
      <w:pPr>
        <w:pStyle w:val="ListParagraph"/>
        <w:numPr>
          <w:ilvl w:val="0"/>
          <w:numId w:val="2"/>
        </w:numPr>
        <w:spacing w:after="80"/>
      </w:pPr>
      <w:r>
        <w:t xml:space="preserve">Flyers: Dark background, fire imagery, clear schedule and safety info</w:t>
      </w:r>
    </w:p>
    <w:p>
      <w:pPr>
        <w:pStyle w:val="ListParagraph"/>
        <w:numPr>
          <w:ilvl w:val="0"/>
          <w:numId w:val="2"/>
        </w:numPr>
        <w:spacing w:after="80"/>
      </w:pPr>
      <w:r>
        <w:t xml:space="preserve">Wristbands/badges: Black with Ember Orange text and safety level indicator</w:t>
      </w:r>
    </w:p>
    <w:p>
      <w:pPr>
        <w:pStyle w:val="ListParagraph"/>
        <w:numPr>
          <w:ilvl w:val="0"/>
          <w:numId w:val="2"/>
        </w:numPr>
        <w:spacing w:after="200"/>
      </w:pPr>
      <w:r>
        <w:t xml:space="preserve">Safety signage: High-contrast with Safety Green accents for visibility</w:t>
      </w:r>
    </w:p>
    <w:p>
      <w:pPr>
        <w:pStyle w:val="Heading2"/>
      </w:pPr>
      <w:r>
        <w:t xml:space="preserve">Merchandise</w:t>
      </w:r>
    </w:p>
    <w:p>
      <w:pPr>
        <w:pStyle w:val="ListParagraph"/>
        <w:numPr>
          <w:ilvl w:val="0"/>
          <w:numId w:val="2"/>
        </w:numPr>
        <w:spacing w:after="80"/>
      </w:pPr>
      <w:r>
        <w:t xml:space="preserve">T-shirts: Black tees with Ember Orange logo, sponsor logos on back</w:t>
      </w:r>
    </w:p>
    <w:p>
      <w:pPr>
        <w:pStyle w:val="ListParagraph"/>
        <w:numPr>
          <w:ilvl w:val="0"/>
          <w:numId w:val="2"/>
        </w:numPr>
        <w:spacing w:after="80"/>
      </w:pPr>
      <w:r>
        <w:t xml:space="preserve">Stickers: Die-cut flame icon in full color on transparent backing</w:t>
      </w:r>
    </w:p>
    <w:p>
      <w:pPr>
        <w:pStyle w:val="ListParagraph"/>
        <w:numPr>
          <w:ilvl w:val="0"/>
          <w:numId w:val="2"/>
        </w:numPr>
        <w:spacing w:after="200"/>
      </w:pPr>
      <w:r>
        <w:t xml:space="preserve">Lanyards: Black webbing with Ember Orange repeated logo print</w:t>
      </w:r>
    </w:p>
    <w:p>
      <w:pPr>
        <w:pStyle w:val="Heading1"/>
      </w:pPr>
      <w:r>
        <w:t xml:space="preserve">6. Accessibility &amp; Compliance</w:t>
      </w:r>
    </w:p>
    <w:p>
      <w:pPr>
        <w:pStyle w:val="ListParagraph"/>
        <w:numPr>
          <w:ilvl w:val="0"/>
          <w:numId w:val="2"/>
        </w:numPr>
        <w:spacing w:after="80"/>
      </w:pPr>
      <w:r>
        <w:t xml:space="preserve">All text must meet WCAG 2.1 AA contrast ratios (4.5:1 for body text, 3:1 for large text)</w:t>
      </w:r>
    </w:p>
    <w:p>
      <w:pPr>
        <w:pStyle w:val="ListParagraph"/>
        <w:numPr>
          <w:ilvl w:val="0"/>
          <w:numId w:val="2"/>
        </w:numPr>
        <w:spacing w:after="80"/>
      </w:pPr>
      <w:r>
        <w:t xml:space="preserve">White (#FFFFFF) on Midnight Black (#0A0A0A) is the primary text pairing</w:t>
      </w:r>
    </w:p>
    <w:p>
      <w:pPr>
        <w:pStyle w:val="ListParagraph"/>
        <w:numPr>
          <w:ilvl w:val="0"/>
          <w:numId w:val="2"/>
        </w:numPr>
        <w:spacing w:after="80"/>
      </w:pPr>
      <w:r>
        <w:t xml:space="preserve">Ember Orange (#FF4500) on black passes AA for large text. Do not use for body text under 18px.</w:t>
      </w:r>
    </w:p>
    <w:p>
      <w:pPr>
        <w:pStyle w:val="ListParagraph"/>
        <w:numPr>
          <w:ilvl w:val="0"/>
          <w:numId w:val="2"/>
        </w:numPr>
        <w:spacing w:after="80"/>
      </w:pPr>
      <w:r>
        <w:t xml:space="preserve">Amber Glow (#FFB347) passes AA on black for all text sizes</w:t>
      </w:r>
    </w:p>
    <w:p>
      <w:pPr>
        <w:pStyle w:val="ListParagraph"/>
        <w:numPr>
          <w:ilvl w:val="0"/>
          <w:numId w:val="2"/>
        </w:numPr>
        <w:spacing w:after="200"/>
      </w:pPr>
      <w:r>
        <w:t xml:space="preserve">Always provide alt text for fire performance images that describes both the action and mood</w:t>
      </w:r>
    </w:p>
    <w:p>
      <w:pPr>
        <w:pBdr>
          <w:top w:val="single" w:color="FF4500" w:sz="6" w:space="12"/>
        </w:pBdr>
        <w:spacing w:before="480"/>
      </w:pPr>
    </w:p>
    <w:p>
      <w:pPr>
        <w:spacing w:after="100"/>
      </w:pPr>
      <w:r>
        <w:rPr>
          <w:i/>
          <w:iCs/>
          <w:color w:val="999999"/>
        </w:rPr>
        <w:t xml:space="preserve">This document is a living guide. As Las Vegas Fire Dancers grows and evolves, these guidelines will be updated to reflect the community’s needs. For questions about brand usage, contact the LVFD organizing team.</w:t>
      </w:r>
    </w:p>
    <w:p>
      <w:pPr>
        <w:spacing w:after="200"/>
      </w:pPr>
      <w:r>
        <w:rPr>
          <w:i/>
          <w:iCs/>
          <w:color w:val="999999"/>
        </w:rPr>
        <w:t xml:space="preserve">© 2026 Las Vegas Fire Dancers. Funded by Fund the Flow Arts. Sponsored by Pyrotechnique.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4500" w:sz="2" w:space="8"/>
      </w:pBdr>
      <w:tabs>
        <w:tab w:val="right" w:pos="9360"/>
      </w:tabs>
    </w:pPr>
    <w:r>
      <w:rPr>
        <w:rFonts w:ascii="Arial" w:cs="Arial" w:eastAsia="Arial" w:hAnsi="Arial"/>
        <w:color w:val="999999"/>
        <w:sz w:val="16"/>
        <w:szCs w:val="16"/>
      </w:rPr>
      <w:t xml:space="preserve">Confidential  —  Fund the Flow Arts &amp; Pyrotechnique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4500" w:sz="4" w:space="8"/>
      </w:pBdr>
    </w:pPr>
    <w:r>
      <w:rPr>
        <w:rFonts w:ascii="Arial" w:cs="Arial" w:eastAsia="Arial" w:hAnsi="Arial"/>
        <w:b/>
        <w:bCs/>
        <w:color w:val="FF4500"/>
        <w:sz w:val="18"/>
        <w:szCs w:val="18"/>
      </w:rPr>
      <w:t xml:space="preserve">Las Vegas Fire Dancers</w:t>
    </w:r>
    <w:r>
      <w:rPr>
        <w:rFonts w:ascii="Arial" w:cs="Arial" w:eastAsia="Arial" w:hAnsi="Arial"/>
        <w:color w:val="999999"/>
        <w:sz w:val="18"/>
        <w:szCs w:val="18"/>
      </w:rPr>
      <w:t xml:space="preserve">  |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FF4500"/>
      <w:sz w:val="48"/>
      <w:szCs w:val="48"/>
    </w:rPr>
  </w:style>
  <w:style w:type="paragraph" w:styleId="Heading2">
    <w:name w:val="Heading 2"/>
    <w:basedOn w:val="Normal"/>
    <w:next w:val="Normal"/>
    <w:qFormat/>
    <w:pPr>
      <w:spacing w:before="360" w:after="180"/>
      <w:outlineLvl w:val="1"/>
    </w:pPr>
    <w:rPr>
      <w:rFonts w:ascii="Arial" w:cs="Arial" w:eastAsia="Arial" w:hAnsi="Arial"/>
      <w:b/>
      <w:bCs/>
      <w:color w:val="0A0A0A"/>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FF6B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2026-03-20T18:30:30.260Z</dcterms:created>
  <dcterms:modified xsi:type="dcterms:W3CDTF">2026-03-20T18:30:30.261Z</dcterms:modified>
</cp:coreProperties>
</file>

<file path=docProps/custom.xml><?xml version="1.0" encoding="utf-8"?>
<Properties xmlns="http://schemas.openxmlformats.org/officeDocument/2006/custom-properties" xmlns:vt="http://schemas.openxmlformats.org/officeDocument/2006/docPropsVTypes"/>
</file>