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45C11" w14:textId="6883F91A" w:rsidR="00C8645C" w:rsidRPr="00E81BCA" w:rsidRDefault="00C8645C" w:rsidP="00E81BCA">
      <w:pPr>
        <w:pStyle w:val="Title"/>
        <w:rPr>
          <w:rFonts w:ascii="Arial Black" w:hAnsi="Arial Black"/>
          <w:color w:val="000000" w:themeColor="text1"/>
          <w:sz w:val="52"/>
          <w:szCs w:val="52"/>
          <w:u w:val="single"/>
        </w:rPr>
      </w:pPr>
    </w:p>
    <w:p w14:paraId="6AED3FDB" w14:textId="2918A3EE" w:rsidR="00025003" w:rsidRPr="00E81BCA" w:rsidRDefault="00025003" w:rsidP="00DE4FF9">
      <w:pPr>
        <w:rPr>
          <w:rFonts w:ascii="Arial Black" w:hAnsi="Arial Black"/>
          <w:color w:val="000000" w:themeColor="text1"/>
          <w:sz w:val="52"/>
          <w:szCs w:val="52"/>
          <w:u w:val="single"/>
        </w:rPr>
      </w:pPr>
      <w:r w:rsidRPr="00E81BCA">
        <w:rPr>
          <w:rFonts w:ascii="Arial Black" w:hAnsi="Arial Black"/>
          <w:color w:val="000000" w:themeColor="text1"/>
          <w:sz w:val="52"/>
          <w:szCs w:val="52"/>
          <w:u w:val="single"/>
        </w:rPr>
        <w:t>Background Guide for Lok Sabha</w:t>
      </w:r>
    </w:p>
    <w:p w14:paraId="0474B42C" w14:textId="77777777" w:rsidR="00025003" w:rsidRPr="00E81BCA" w:rsidRDefault="00025003" w:rsidP="00025003">
      <w:pPr>
        <w:rPr>
          <w:color w:val="000000" w:themeColor="text1"/>
        </w:rPr>
      </w:pPr>
    </w:p>
    <w:p w14:paraId="1BAE870C" w14:textId="62D2CA0B" w:rsidR="00025003" w:rsidRPr="00E81BCA" w:rsidRDefault="00DA1220" w:rsidP="00DA1220">
      <w:pPr>
        <w:pStyle w:val="Heading1"/>
        <w:rPr>
          <w:rStyle w:val="Strong"/>
          <w:rFonts w:asciiTheme="minorHAnsi" w:hAnsiTheme="minorHAnsi" w:cstheme="minorHAnsi"/>
          <w:color w:val="000000" w:themeColor="text1"/>
          <w:sz w:val="36"/>
          <w:szCs w:val="36"/>
        </w:rPr>
      </w:pPr>
      <w:r w:rsidRPr="00E81BCA">
        <w:rPr>
          <w:rStyle w:val="Strong"/>
          <w:rFonts w:asciiTheme="minorHAnsi" w:hAnsiTheme="minorHAnsi" w:cstheme="minorHAnsi"/>
          <w:color w:val="000000" w:themeColor="text1"/>
          <w:sz w:val="36"/>
          <w:szCs w:val="36"/>
          <w:u w:val="single"/>
        </w:rPr>
        <w:t>Introduction to the Lok Sabha</w:t>
      </w:r>
      <w:r w:rsidRPr="00E81BCA">
        <w:rPr>
          <w:rStyle w:val="Strong"/>
          <w:rFonts w:asciiTheme="minorHAnsi" w:hAnsiTheme="minorHAnsi" w:cstheme="minorHAnsi"/>
          <w:color w:val="000000" w:themeColor="text1"/>
          <w:sz w:val="36"/>
          <w:szCs w:val="36"/>
        </w:rPr>
        <w:t>:</w:t>
      </w:r>
    </w:p>
    <w:p w14:paraId="4FF34E9C" w14:textId="77777777" w:rsidR="009A6C01" w:rsidRPr="00E81BCA" w:rsidRDefault="009A6C01" w:rsidP="009A6C01">
      <w:pPr>
        <w:rPr>
          <w:color w:val="000000" w:themeColor="text1"/>
        </w:rPr>
      </w:pPr>
    </w:p>
    <w:p w14:paraId="205E0A6A" w14:textId="0E14A6E6" w:rsidR="00DA1220" w:rsidRPr="00E81BCA" w:rsidRDefault="00DA1220" w:rsidP="00DA1220">
      <w:pPr>
        <w:rPr>
          <w:color w:val="000000" w:themeColor="text1"/>
          <w:sz w:val="32"/>
          <w:szCs w:val="32"/>
        </w:rPr>
      </w:pPr>
      <w:r w:rsidRPr="00E81BCA">
        <w:rPr>
          <w:color w:val="000000" w:themeColor="text1"/>
          <w:sz w:val="32"/>
          <w:szCs w:val="32"/>
        </w:rPr>
        <w:t>The </w:t>
      </w:r>
      <w:r w:rsidRPr="00E81BCA">
        <w:rPr>
          <w:b/>
          <w:bCs/>
          <w:color w:val="000000" w:themeColor="text1"/>
          <w:sz w:val="32"/>
          <w:szCs w:val="32"/>
        </w:rPr>
        <w:t>Lok Sabha</w:t>
      </w:r>
      <w:r w:rsidRPr="00E81BCA">
        <w:rPr>
          <w:color w:val="000000" w:themeColor="text1"/>
          <w:sz w:val="32"/>
          <w:szCs w:val="32"/>
        </w:rPr>
        <w:t>, also known as the </w:t>
      </w:r>
      <w:r w:rsidRPr="00E81BCA">
        <w:rPr>
          <w:b/>
          <w:bCs/>
          <w:color w:val="000000" w:themeColor="text1"/>
          <w:sz w:val="32"/>
          <w:szCs w:val="32"/>
        </w:rPr>
        <w:t>House of the People</w:t>
      </w:r>
      <w:r w:rsidRPr="00E81BCA">
        <w:rPr>
          <w:color w:val="000000" w:themeColor="text1"/>
          <w:sz w:val="32"/>
          <w:szCs w:val="32"/>
        </w:rPr>
        <w:t>, is the lower house of India’s bicameral parliament, with the upper house being the Rajya Sabha. Members of the Lok Sabha are elected by an adult Universal Suffrage and a First-past-the-post system to represent their respective constituencies, and they hold their seats for five years or until the body is dissolved by the </w:t>
      </w:r>
      <w:hyperlink r:id="rId7" w:tooltip="President of India" w:history="1"/>
      <w:r w:rsidRPr="00E81BCA">
        <w:rPr>
          <w:color w:val="000000" w:themeColor="text1"/>
          <w:sz w:val="32"/>
          <w:szCs w:val="32"/>
        </w:rPr>
        <w:t>President on the advice of the council of ministers. The house meets in the Lok Sabha Chambers of the Parliament House, New Delhi.</w:t>
      </w:r>
    </w:p>
    <w:p w14:paraId="52C23882" w14:textId="1B6CA3ED" w:rsidR="00DA1220" w:rsidRPr="00E81BCA" w:rsidRDefault="00DA1220" w:rsidP="00DA1220">
      <w:pPr>
        <w:rPr>
          <w:color w:val="000000" w:themeColor="text1"/>
          <w:sz w:val="32"/>
          <w:szCs w:val="32"/>
        </w:rPr>
      </w:pPr>
      <w:r w:rsidRPr="00E81BCA">
        <w:rPr>
          <w:color w:val="000000" w:themeColor="text1"/>
          <w:sz w:val="32"/>
          <w:szCs w:val="32"/>
        </w:rPr>
        <w:t xml:space="preserve">The maximum membership of the House allotted by the Constitution of India is 552. (Initially, in 1950, it was 500.) Currently, the house has 543 seats which are filled by the election of up to 543 elected members. The new parliament has a seating capacity of 888 for Lok Sabha. </w:t>
      </w:r>
    </w:p>
    <w:p w14:paraId="0F985F49" w14:textId="37257CFB" w:rsidR="00DA1220" w:rsidRPr="00E81BCA" w:rsidRDefault="00C41A62" w:rsidP="00DA1220">
      <w:pPr>
        <w:rPr>
          <w:color w:val="000000" w:themeColor="text1"/>
          <w:sz w:val="32"/>
          <w:szCs w:val="32"/>
        </w:rPr>
      </w:pPr>
      <w:r w:rsidRPr="00E81BCA">
        <w:rPr>
          <w:color w:val="000000" w:themeColor="text1"/>
          <w:sz w:val="32"/>
          <w:szCs w:val="32"/>
        </w:rPr>
        <w:t>The first election of the Lok Sabha took place between 25</w:t>
      </w:r>
      <w:r w:rsidRPr="00E81BCA">
        <w:rPr>
          <w:color w:val="000000" w:themeColor="text1"/>
          <w:sz w:val="32"/>
          <w:szCs w:val="32"/>
          <w:vertAlign w:val="superscript"/>
        </w:rPr>
        <w:t>th</w:t>
      </w:r>
      <w:r w:rsidRPr="00E81BCA">
        <w:rPr>
          <w:color w:val="000000" w:themeColor="text1"/>
          <w:sz w:val="32"/>
          <w:szCs w:val="32"/>
        </w:rPr>
        <w:t xml:space="preserve"> October 1951 to 21</w:t>
      </w:r>
      <w:r w:rsidRPr="00E81BCA">
        <w:rPr>
          <w:color w:val="000000" w:themeColor="text1"/>
          <w:sz w:val="32"/>
          <w:szCs w:val="32"/>
          <w:vertAlign w:val="superscript"/>
        </w:rPr>
        <w:t>st</w:t>
      </w:r>
      <w:r w:rsidRPr="00E81BCA">
        <w:rPr>
          <w:color w:val="000000" w:themeColor="text1"/>
          <w:sz w:val="32"/>
          <w:szCs w:val="32"/>
        </w:rPr>
        <w:t xml:space="preserve"> February 1952. The most recent election of the Lok Sabha took place between the dates of 19</w:t>
      </w:r>
      <w:r w:rsidRPr="00E81BCA">
        <w:rPr>
          <w:color w:val="000000" w:themeColor="text1"/>
          <w:sz w:val="32"/>
          <w:szCs w:val="32"/>
          <w:vertAlign w:val="superscript"/>
        </w:rPr>
        <w:t>th</w:t>
      </w:r>
      <w:r w:rsidRPr="00E81BCA">
        <w:rPr>
          <w:color w:val="000000" w:themeColor="text1"/>
          <w:sz w:val="32"/>
          <w:szCs w:val="32"/>
        </w:rPr>
        <w:t xml:space="preserve"> April- 1</w:t>
      </w:r>
      <w:r w:rsidRPr="00E81BCA">
        <w:rPr>
          <w:color w:val="000000" w:themeColor="text1"/>
          <w:sz w:val="32"/>
          <w:szCs w:val="32"/>
          <w:vertAlign w:val="superscript"/>
        </w:rPr>
        <w:t>st</w:t>
      </w:r>
      <w:r w:rsidRPr="00E81BCA">
        <w:rPr>
          <w:color w:val="000000" w:themeColor="text1"/>
          <w:sz w:val="32"/>
          <w:szCs w:val="32"/>
        </w:rPr>
        <w:t xml:space="preserve"> June 2024. The current Leader of the House is India’s Prime Minister, Narendra Modi, of the Bhartiya Janata Party, since 26</w:t>
      </w:r>
      <w:r w:rsidRPr="00E81BCA">
        <w:rPr>
          <w:color w:val="000000" w:themeColor="text1"/>
          <w:sz w:val="32"/>
          <w:szCs w:val="32"/>
          <w:vertAlign w:val="superscript"/>
        </w:rPr>
        <w:t>th</w:t>
      </w:r>
      <w:r w:rsidRPr="00E81BCA">
        <w:rPr>
          <w:color w:val="000000" w:themeColor="text1"/>
          <w:sz w:val="32"/>
          <w:szCs w:val="32"/>
        </w:rPr>
        <w:t xml:space="preserve"> May 2014. The opposition is led by a member of the Indian National Congress, Rahul Gandhi. </w:t>
      </w:r>
    </w:p>
    <w:p w14:paraId="3FB1A69C" w14:textId="77777777" w:rsidR="0072736F" w:rsidRPr="00CF1C28" w:rsidRDefault="0072736F" w:rsidP="0072736F">
      <w:pPr>
        <w:rPr>
          <w:color w:val="000000" w:themeColor="text1"/>
          <w:sz w:val="32"/>
          <w:szCs w:val="32"/>
        </w:rPr>
      </w:pPr>
      <w:r w:rsidRPr="00CF1C28">
        <w:rPr>
          <w:color w:val="000000" w:themeColor="text1"/>
          <w:sz w:val="32"/>
          <w:szCs w:val="32"/>
        </w:rPr>
        <w:t xml:space="preserve">The Uniform Civil Code is a proposed legal framework in India aimed at replacing the distinct personal laws of various religious communities with a single, uniform set of laws for all citizens. It addresses civil and private matters that are currently governed by religious scriptures and </w:t>
      </w:r>
      <w:r w:rsidRPr="00CF1C28">
        <w:rPr>
          <w:color w:val="000000" w:themeColor="text1"/>
          <w:sz w:val="32"/>
          <w:szCs w:val="32"/>
        </w:rPr>
        <w:lastRenderedPageBreak/>
        <w:t>customary practices, primarily focusing on marriage, divorce, inheritance, succession, and adoption. The primary objective of a uniform civil code is to promote gender equality, secularism, and national integration by eliminating discriminatory practices embedded within separate personal laws. While criminal and commercial laws in India are already unified, family and personal laws remain fragmented along religious lines.</w:t>
      </w:r>
    </w:p>
    <w:p w14:paraId="1D51794E" w14:textId="77777777" w:rsidR="0072736F" w:rsidRPr="00CF1C28" w:rsidRDefault="0072736F" w:rsidP="0072736F">
      <w:pPr>
        <w:rPr>
          <w:color w:val="000000" w:themeColor="text1"/>
          <w:sz w:val="32"/>
          <w:szCs w:val="32"/>
        </w:rPr>
      </w:pPr>
      <w:r w:rsidRPr="00CF1C28">
        <w:rPr>
          <w:color w:val="000000" w:themeColor="text1"/>
          <w:sz w:val="32"/>
          <w:szCs w:val="32"/>
        </w:rPr>
        <w:t xml:space="preserve">The debate over personal laws traces back to British rule. The Second Law Commission Report of 1835 stressed the need for uniform codification of Indian laws regarding crimes, evidence, and contracts but explicitly recommended leaving personal laws untouched. Following the Revolt of 1857, Queen Victoria's Proclamation of 1858 officially promised absolute non-interference in the religious matters and traditional customs of her Indian subjects to avoid further civil unrest. As demands for women's rights grew in the mid-twentieth century, the colonial government appointed the Hindu Law Committee, led by B.N. </w:t>
      </w:r>
      <w:proofErr w:type="spellStart"/>
      <w:r w:rsidRPr="00CF1C28">
        <w:rPr>
          <w:color w:val="000000" w:themeColor="text1"/>
          <w:sz w:val="32"/>
          <w:szCs w:val="32"/>
        </w:rPr>
        <w:t>Rau</w:t>
      </w:r>
      <w:proofErr w:type="spellEnd"/>
      <w:r w:rsidRPr="00CF1C28">
        <w:rPr>
          <w:color w:val="000000" w:themeColor="text1"/>
          <w:sz w:val="32"/>
          <w:szCs w:val="32"/>
        </w:rPr>
        <w:t xml:space="preserve">, to examine personal laws. The committee recommended a codified Hindu law that would give equal rights to women, laying the groundwork for future civil reforms. After independence in 1947, Prime Minister Jawaharlal Nehru and Law Minister Dr. B.R. </w:t>
      </w:r>
      <w:proofErr w:type="spellStart"/>
      <w:r w:rsidRPr="00CF1C28">
        <w:rPr>
          <w:color w:val="000000" w:themeColor="text1"/>
          <w:sz w:val="32"/>
          <w:szCs w:val="32"/>
        </w:rPr>
        <w:t>Ambedkar</w:t>
      </w:r>
      <w:proofErr w:type="spellEnd"/>
      <w:r w:rsidRPr="00CF1C28">
        <w:rPr>
          <w:color w:val="000000" w:themeColor="text1"/>
          <w:sz w:val="32"/>
          <w:szCs w:val="32"/>
        </w:rPr>
        <w:t xml:space="preserve"> championed these reforms, resulting in the passage of the Hindu Code Bills in the mid-1950s. However, these reforms only applied to Hindus, Buddhists, Jains, and Sikhs, leaving the personal laws of Muslims, Christians, and </w:t>
      </w:r>
      <w:proofErr w:type="spellStart"/>
      <w:r w:rsidRPr="00CF1C28">
        <w:rPr>
          <w:color w:val="000000" w:themeColor="text1"/>
          <w:sz w:val="32"/>
          <w:szCs w:val="32"/>
        </w:rPr>
        <w:t>Parsis</w:t>
      </w:r>
      <w:proofErr w:type="spellEnd"/>
      <w:r w:rsidRPr="00CF1C28">
        <w:rPr>
          <w:color w:val="000000" w:themeColor="text1"/>
          <w:sz w:val="32"/>
          <w:szCs w:val="32"/>
        </w:rPr>
        <w:t xml:space="preserve"> intact.</w:t>
      </w:r>
    </w:p>
    <w:p w14:paraId="59A75583" w14:textId="77777777" w:rsidR="0072736F" w:rsidRPr="00CF1C28" w:rsidRDefault="0072736F" w:rsidP="0072736F">
      <w:pPr>
        <w:rPr>
          <w:color w:val="000000" w:themeColor="text1"/>
          <w:sz w:val="32"/>
          <w:szCs w:val="32"/>
        </w:rPr>
      </w:pPr>
      <w:r w:rsidRPr="00CF1C28">
        <w:rPr>
          <w:color w:val="000000" w:themeColor="text1"/>
          <w:sz w:val="32"/>
          <w:szCs w:val="32"/>
        </w:rPr>
        <w:t xml:space="preserve">The framers of the Constitution debated whether to make the uniform civil code a mandatory fundamental right. Due to intense opposition and the trauma of Partition, it was ultimately placed under Part IV of the Constitution as Article 44 within the Directive Principles of State Policy. Article 44 states that the State shall </w:t>
      </w:r>
      <w:proofErr w:type="spellStart"/>
      <w:r w:rsidRPr="00CF1C28">
        <w:rPr>
          <w:color w:val="000000" w:themeColor="text1"/>
          <w:sz w:val="32"/>
          <w:szCs w:val="32"/>
        </w:rPr>
        <w:t>endeavour</w:t>
      </w:r>
      <w:proofErr w:type="spellEnd"/>
      <w:r w:rsidRPr="00CF1C28">
        <w:rPr>
          <w:color w:val="000000" w:themeColor="text1"/>
          <w:sz w:val="32"/>
          <w:szCs w:val="32"/>
        </w:rPr>
        <w:t xml:space="preserve"> to secure for the citizens a uniform civil code throughout the territory of India. Because it </w:t>
      </w:r>
      <w:r w:rsidRPr="00CF1C28">
        <w:rPr>
          <w:color w:val="000000" w:themeColor="text1"/>
          <w:sz w:val="32"/>
          <w:szCs w:val="32"/>
        </w:rPr>
        <w:lastRenderedPageBreak/>
        <w:t>falls under the Directive Principles, Article 44 is non-justiciable, meaning it cannot be directly enforced by any court. It serves as a constitutional directive and moral obligation for future governments to implement when the socio-political climate is deemed ready.</w:t>
      </w:r>
    </w:p>
    <w:p w14:paraId="03887AEE" w14:textId="77777777" w:rsidR="0072736F" w:rsidRPr="00CF1C28" w:rsidRDefault="0072736F" w:rsidP="0072736F">
      <w:pPr>
        <w:rPr>
          <w:color w:val="000000" w:themeColor="text1"/>
          <w:sz w:val="32"/>
          <w:szCs w:val="32"/>
        </w:rPr>
      </w:pPr>
      <w:r w:rsidRPr="00CF1C28">
        <w:rPr>
          <w:color w:val="000000" w:themeColor="text1"/>
          <w:sz w:val="32"/>
          <w:szCs w:val="32"/>
        </w:rPr>
        <w:t xml:space="preserve">Under the federal structure of the Indian Constitution, personal laws fall under the Concurrent List, meaning both the Central Parliament and State Legislatures have the power to pass laws on these subjects. This has created a complex legal tapestry across the country. Goa is the only Indian state that has historically maintained a unified personal law, as the Portuguese Civil Code of 1867 was retained after Goa was liberated and integrated into India in 1961. It applies to all residents regardless of religion, requiring mandatory civil registration of marriages and restricting polygamy. Conversely, in states like Meghalaya, Nagaland, and Mizoram, the implementation of a national code faces friction due to community customs. Article 371 and the Sixth Schedule of the Constitution safeguard the customary laws and </w:t>
      </w:r>
      <w:proofErr w:type="spellStart"/>
      <w:r w:rsidRPr="00CF1C28">
        <w:rPr>
          <w:color w:val="000000" w:themeColor="text1"/>
          <w:sz w:val="32"/>
          <w:szCs w:val="32"/>
        </w:rPr>
        <w:t>matrilinear</w:t>
      </w:r>
      <w:proofErr w:type="spellEnd"/>
      <w:r w:rsidRPr="00CF1C28">
        <w:rPr>
          <w:color w:val="000000" w:themeColor="text1"/>
          <w:sz w:val="32"/>
          <w:szCs w:val="32"/>
        </w:rPr>
        <w:t xml:space="preserve"> practices of tribal populations, exempting them from many central civil legislations.</w:t>
      </w:r>
    </w:p>
    <w:p w14:paraId="25E0A500" w14:textId="77777777" w:rsidR="0072736F" w:rsidRPr="00CF1C28" w:rsidRDefault="0072736F" w:rsidP="0072736F">
      <w:pPr>
        <w:rPr>
          <w:color w:val="000000" w:themeColor="text1"/>
          <w:sz w:val="32"/>
          <w:szCs w:val="32"/>
        </w:rPr>
      </w:pPr>
      <w:r w:rsidRPr="00CF1C28">
        <w:rPr>
          <w:color w:val="000000" w:themeColor="text1"/>
          <w:sz w:val="32"/>
          <w:szCs w:val="32"/>
        </w:rPr>
        <w:t xml:space="preserve">The Supreme Court of India has frequently stepped into the debate, urging the legislature to fulfill the promise of Article 44. In the landmark Shah </w:t>
      </w:r>
      <w:proofErr w:type="spellStart"/>
      <w:r w:rsidRPr="00CF1C28">
        <w:rPr>
          <w:color w:val="000000" w:themeColor="text1"/>
          <w:sz w:val="32"/>
          <w:szCs w:val="32"/>
        </w:rPr>
        <w:t>Bano</w:t>
      </w:r>
      <w:proofErr w:type="spellEnd"/>
      <w:r w:rsidRPr="00CF1C28">
        <w:rPr>
          <w:color w:val="000000" w:themeColor="text1"/>
          <w:sz w:val="32"/>
          <w:szCs w:val="32"/>
        </w:rPr>
        <w:t xml:space="preserve"> case of 1985, a 62-year-old Muslim woman sought maintenance from her divorced husband under the Code of Criminal Procedure, and the Supreme Court ruled in her favor, stating that Section 125 applies to all citizens irrespective of religion, while noting that a common civil code would help national integration. Later, in the </w:t>
      </w:r>
      <w:proofErr w:type="spellStart"/>
      <w:r w:rsidRPr="00CF1C28">
        <w:rPr>
          <w:color w:val="000000" w:themeColor="text1"/>
          <w:sz w:val="32"/>
          <w:szCs w:val="32"/>
        </w:rPr>
        <w:t>Sarla</w:t>
      </w:r>
      <w:proofErr w:type="spellEnd"/>
      <w:r w:rsidRPr="00CF1C28">
        <w:rPr>
          <w:color w:val="000000" w:themeColor="text1"/>
          <w:sz w:val="32"/>
          <w:szCs w:val="32"/>
        </w:rPr>
        <w:t xml:space="preserve"> </w:t>
      </w:r>
      <w:proofErr w:type="spellStart"/>
      <w:r w:rsidRPr="00CF1C28">
        <w:rPr>
          <w:color w:val="000000" w:themeColor="text1"/>
          <w:sz w:val="32"/>
          <w:szCs w:val="32"/>
        </w:rPr>
        <w:t>Mudgal</w:t>
      </w:r>
      <w:proofErr w:type="spellEnd"/>
      <w:r w:rsidRPr="00CF1C28">
        <w:rPr>
          <w:color w:val="000000" w:themeColor="text1"/>
          <w:sz w:val="32"/>
          <w:szCs w:val="32"/>
        </w:rPr>
        <w:t xml:space="preserve"> case of 1995, the Court ruled that a Hindu marriage cannot be dissolved automatically just because the husband converts to Islam to solemnize a second marriage, reiterating the necessity of a uniform civil code to prevent legal loopholes. The institutional stance has shifted over time; in 2018, the 21st Law Commission issued a consultation paper stating that a uniform code was neither necessary </w:t>
      </w:r>
      <w:r w:rsidRPr="00CF1C28">
        <w:rPr>
          <w:color w:val="000000" w:themeColor="text1"/>
          <w:sz w:val="32"/>
          <w:szCs w:val="32"/>
        </w:rPr>
        <w:lastRenderedPageBreak/>
        <w:t>nor desirable at that stage, favoring individual personal law reforms instead. However, the 22nd Law Commission reversed this course, actively soliciting fresh public and institutional inputs to build a framework for implementation.</w:t>
      </w:r>
    </w:p>
    <w:p w14:paraId="7E4E6DAE" w14:textId="77777777" w:rsidR="0072736F" w:rsidRPr="00CF1C28" w:rsidRDefault="0072736F" w:rsidP="00153AD1">
      <w:pPr>
        <w:rPr>
          <w:color w:val="000000" w:themeColor="text1"/>
          <w:sz w:val="32"/>
          <w:szCs w:val="32"/>
        </w:rPr>
      </w:pPr>
      <w:r w:rsidRPr="00CF1C28">
        <w:rPr>
          <w:color w:val="000000" w:themeColor="text1"/>
          <w:sz w:val="32"/>
          <w:szCs w:val="32"/>
        </w:rPr>
        <w:t xml:space="preserve">Rather than waiting for a sweeping central law, individual states have recently taken the lead in enacting localized versions of the Uniform Civil Code. Uttarakhand became the first state in independent India to enforce its own code, which explicitly bans practices like polygamy, </w:t>
      </w:r>
      <w:proofErr w:type="spellStart"/>
      <w:r w:rsidRPr="00CF1C28">
        <w:rPr>
          <w:color w:val="000000" w:themeColor="text1"/>
          <w:sz w:val="32"/>
          <w:szCs w:val="32"/>
        </w:rPr>
        <w:t>iddat</w:t>
      </w:r>
      <w:proofErr w:type="spellEnd"/>
      <w:r w:rsidRPr="00CF1C28">
        <w:rPr>
          <w:color w:val="000000" w:themeColor="text1"/>
          <w:sz w:val="32"/>
          <w:szCs w:val="32"/>
        </w:rPr>
        <w:t xml:space="preserve">, and </w:t>
      </w:r>
      <w:proofErr w:type="spellStart"/>
      <w:r w:rsidRPr="00CF1C28">
        <w:rPr>
          <w:color w:val="000000" w:themeColor="text1"/>
          <w:sz w:val="32"/>
          <w:szCs w:val="32"/>
        </w:rPr>
        <w:t>halala</w:t>
      </w:r>
      <w:proofErr w:type="spellEnd"/>
      <w:r w:rsidRPr="00CF1C28">
        <w:rPr>
          <w:color w:val="000000" w:themeColor="text1"/>
          <w:sz w:val="32"/>
          <w:szCs w:val="32"/>
        </w:rPr>
        <w:t xml:space="preserve">, while introducing mandatory registration of live-in relationships within the state, making failure to register punishable by imprisonment. Gujarat became the second state to pass its own Uniform Civil Code Bill, mirroring many gender-equity provisions from the Uttarakhand model. Assam followed as the third state overall and the first in Northeast India to successfully navigate tribal exceptions and pass a state-level civil code bill. Furthermore, Uttarakhand introduced the Uniform Civil Code Amendment Ordinance to refine its legal framework by making identity concealment a ground for marriage annulment, introducing stricter penalties for forced live-in relationships, changing legal terms like widow to the gender-neutral spouse, and aligning the civil framework with India's new criminal codes, the </w:t>
      </w:r>
      <w:proofErr w:type="spellStart"/>
      <w:r w:rsidRPr="00CF1C28">
        <w:rPr>
          <w:color w:val="000000" w:themeColor="text1"/>
          <w:sz w:val="32"/>
          <w:szCs w:val="32"/>
        </w:rPr>
        <w:t>Bharatiya</w:t>
      </w:r>
      <w:proofErr w:type="spellEnd"/>
      <w:r w:rsidRPr="00CF1C28">
        <w:rPr>
          <w:color w:val="000000" w:themeColor="text1"/>
          <w:sz w:val="32"/>
          <w:szCs w:val="32"/>
        </w:rPr>
        <w:t xml:space="preserve"> </w:t>
      </w:r>
      <w:proofErr w:type="spellStart"/>
      <w:r w:rsidRPr="00CF1C28">
        <w:rPr>
          <w:color w:val="000000" w:themeColor="text1"/>
          <w:sz w:val="32"/>
          <w:szCs w:val="32"/>
        </w:rPr>
        <w:t>Nyaya</w:t>
      </w:r>
      <w:proofErr w:type="spellEnd"/>
      <w:r w:rsidRPr="00CF1C28">
        <w:rPr>
          <w:color w:val="000000" w:themeColor="text1"/>
          <w:sz w:val="32"/>
          <w:szCs w:val="32"/>
        </w:rPr>
        <w:t xml:space="preserve"> </w:t>
      </w:r>
      <w:proofErr w:type="spellStart"/>
      <w:r w:rsidRPr="00CF1C28">
        <w:rPr>
          <w:color w:val="000000" w:themeColor="text1"/>
          <w:sz w:val="32"/>
          <w:szCs w:val="32"/>
        </w:rPr>
        <w:t>Sanhita</w:t>
      </w:r>
      <w:proofErr w:type="spellEnd"/>
      <w:r w:rsidRPr="00CF1C28">
        <w:rPr>
          <w:color w:val="000000" w:themeColor="text1"/>
          <w:sz w:val="32"/>
          <w:szCs w:val="32"/>
        </w:rPr>
        <w:t xml:space="preserve"> and the </w:t>
      </w:r>
      <w:proofErr w:type="spellStart"/>
      <w:r w:rsidRPr="00CF1C28">
        <w:rPr>
          <w:color w:val="000000" w:themeColor="text1"/>
          <w:sz w:val="32"/>
          <w:szCs w:val="32"/>
        </w:rPr>
        <w:t>Bharatiya</w:t>
      </w:r>
      <w:proofErr w:type="spellEnd"/>
      <w:r w:rsidRPr="00CF1C28">
        <w:rPr>
          <w:color w:val="000000" w:themeColor="text1"/>
          <w:sz w:val="32"/>
          <w:szCs w:val="32"/>
        </w:rPr>
        <w:t xml:space="preserve"> </w:t>
      </w:r>
      <w:proofErr w:type="spellStart"/>
      <w:r w:rsidRPr="00CF1C28">
        <w:rPr>
          <w:color w:val="000000" w:themeColor="text1"/>
          <w:sz w:val="32"/>
          <w:szCs w:val="32"/>
        </w:rPr>
        <w:t>Nagarik</w:t>
      </w:r>
      <w:proofErr w:type="spellEnd"/>
      <w:r w:rsidRPr="00CF1C28">
        <w:rPr>
          <w:color w:val="000000" w:themeColor="text1"/>
          <w:sz w:val="32"/>
          <w:szCs w:val="32"/>
        </w:rPr>
        <w:t xml:space="preserve"> </w:t>
      </w:r>
      <w:proofErr w:type="spellStart"/>
      <w:r w:rsidRPr="00CF1C28">
        <w:rPr>
          <w:color w:val="000000" w:themeColor="text1"/>
          <w:sz w:val="32"/>
          <w:szCs w:val="32"/>
        </w:rPr>
        <w:t>Suraksha</w:t>
      </w:r>
      <w:proofErr w:type="spellEnd"/>
      <w:r w:rsidRPr="00CF1C28">
        <w:rPr>
          <w:color w:val="000000" w:themeColor="text1"/>
          <w:sz w:val="32"/>
          <w:szCs w:val="32"/>
        </w:rPr>
        <w:t xml:space="preserve"> </w:t>
      </w:r>
      <w:proofErr w:type="spellStart"/>
      <w:r w:rsidRPr="00CF1C28">
        <w:rPr>
          <w:color w:val="000000" w:themeColor="text1"/>
          <w:sz w:val="32"/>
          <w:szCs w:val="32"/>
        </w:rPr>
        <w:t>Sanhita</w:t>
      </w:r>
      <w:proofErr w:type="spellEnd"/>
      <w:r w:rsidRPr="00CF1C28">
        <w:rPr>
          <w:color w:val="000000" w:themeColor="text1"/>
          <w:sz w:val="32"/>
          <w:szCs w:val="32"/>
        </w:rPr>
        <w:t>.</w:t>
      </w:r>
    </w:p>
    <w:sectPr w:rsidR="0072736F" w:rsidRPr="00CF1C28">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AD8025" w14:textId="77777777" w:rsidR="004C772F" w:rsidRDefault="004C772F" w:rsidP="003523EB">
      <w:pPr>
        <w:spacing w:after="0" w:line="240" w:lineRule="auto"/>
      </w:pPr>
      <w:r>
        <w:separator/>
      </w:r>
    </w:p>
  </w:endnote>
  <w:endnote w:type="continuationSeparator" w:id="0">
    <w:p w14:paraId="650C8160" w14:textId="77777777" w:rsidR="004C772F" w:rsidRDefault="004C772F" w:rsidP="00352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130444" w14:textId="77777777" w:rsidR="004C772F" w:rsidRDefault="004C772F" w:rsidP="003523EB">
      <w:pPr>
        <w:spacing w:after="0" w:line="240" w:lineRule="auto"/>
      </w:pPr>
      <w:r>
        <w:separator/>
      </w:r>
    </w:p>
  </w:footnote>
  <w:footnote w:type="continuationSeparator" w:id="0">
    <w:p w14:paraId="2331F3EE" w14:textId="77777777" w:rsidR="004C772F" w:rsidRDefault="004C772F" w:rsidP="00352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FF01C" w14:textId="5B40F830" w:rsidR="003523EB" w:rsidRDefault="00A27F8A">
    <w:pPr>
      <w:pStyle w:val="Header"/>
    </w:pPr>
    <w:r>
      <w:rPr>
        <w:noProof/>
      </w:rPr>
    </w:r>
    <w:r w:rsidR="00A27F8A">
      <w:rPr>
        <w:noProof/>
      </w:rPr>
      <w:pict w14:anchorId="667E3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109563" o:spid="_x0000_s1029" type="#_x0000_t75" style="position:absolute;margin-left:0;margin-top:0;width:467.9pt;height:467.9pt;z-index:-251656192;mso-position-horizontal:center;mso-position-horizontal-relative:margin;mso-position-vertical:center;mso-position-vertical-relative:margin" o:allowincell="f">
          <v:imagedata r:id="rId1" o:title="ueeueu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3E533" w14:textId="136386B4" w:rsidR="003523EB" w:rsidRDefault="00A27F8A">
    <w:pPr>
      <w:pStyle w:val="Header"/>
    </w:pPr>
    <w:r>
      <w:rPr>
        <w:noProof/>
      </w:rPr>
    </w:r>
    <w:r w:rsidR="00A27F8A">
      <w:rPr>
        <w:noProof/>
      </w:rPr>
      <w:pict w14:anchorId="6C3372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109564" o:spid="_x0000_s1030" type="#_x0000_t75" style="position:absolute;margin-left:-88.2pt;margin-top:-71.4pt;width:643.8pt;height:11in;z-index:-251655168;mso-position-horizontal-relative:margin;mso-position-vertical-relative:margin" o:allowincell="f">
          <v:imagedata r:id="rId1" o:title="ueeueu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CED35" w14:textId="2F207A44" w:rsidR="003523EB" w:rsidRDefault="00A27F8A">
    <w:pPr>
      <w:pStyle w:val="Header"/>
    </w:pPr>
    <w:r>
      <w:rPr>
        <w:noProof/>
      </w:rPr>
    </w:r>
    <w:r w:rsidR="00A27F8A">
      <w:rPr>
        <w:noProof/>
      </w:rPr>
      <w:pict w14:anchorId="0BFF4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109562" o:spid="_x0000_s1028" type="#_x0000_t75" style="position:absolute;margin-left:0;margin-top:0;width:467.9pt;height:467.9pt;z-index:-251657216;mso-position-horizontal:center;mso-position-horizontal-relative:margin;mso-position-vertical:center;mso-position-vertical-relative:margin" o:allowincell="f">
          <v:imagedata r:id="rId1" o:title="ueeueu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220B0"/>
    <w:multiLevelType w:val="multilevel"/>
    <w:tmpl w:val="7E4249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B25F4"/>
    <w:multiLevelType w:val="multilevel"/>
    <w:tmpl w:val="541AE1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6124D"/>
    <w:multiLevelType w:val="multilevel"/>
    <w:tmpl w:val="9FE6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B00BC"/>
    <w:multiLevelType w:val="multilevel"/>
    <w:tmpl w:val="9FEE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470D53"/>
    <w:multiLevelType w:val="multilevel"/>
    <w:tmpl w:val="D3B6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532188">
    <w:abstractNumId w:val="3"/>
  </w:num>
  <w:num w:numId="2" w16cid:durableId="1193110698">
    <w:abstractNumId w:val="4"/>
  </w:num>
  <w:num w:numId="3" w16cid:durableId="1523713669">
    <w:abstractNumId w:val="1"/>
  </w:num>
  <w:num w:numId="4" w16cid:durableId="601307005">
    <w:abstractNumId w:val="0"/>
  </w:num>
  <w:num w:numId="5" w16cid:durableId="7367062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003"/>
    <w:rsid w:val="00025003"/>
    <w:rsid w:val="00073FBE"/>
    <w:rsid w:val="00094A13"/>
    <w:rsid w:val="000A5EC2"/>
    <w:rsid w:val="000B0DBE"/>
    <w:rsid w:val="000B4EB8"/>
    <w:rsid w:val="000D081D"/>
    <w:rsid w:val="000E046C"/>
    <w:rsid w:val="00143408"/>
    <w:rsid w:val="00153AD1"/>
    <w:rsid w:val="00160F8A"/>
    <w:rsid w:val="00173482"/>
    <w:rsid w:val="00192843"/>
    <w:rsid w:val="001950BB"/>
    <w:rsid w:val="001C58EE"/>
    <w:rsid w:val="00207C95"/>
    <w:rsid w:val="002155C8"/>
    <w:rsid w:val="002325CE"/>
    <w:rsid w:val="0023314C"/>
    <w:rsid w:val="00245095"/>
    <w:rsid w:val="002665E9"/>
    <w:rsid w:val="00266A64"/>
    <w:rsid w:val="003523EB"/>
    <w:rsid w:val="003571A9"/>
    <w:rsid w:val="00364176"/>
    <w:rsid w:val="00371302"/>
    <w:rsid w:val="003B63B3"/>
    <w:rsid w:val="003C2026"/>
    <w:rsid w:val="00402CB4"/>
    <w:rsid w:val="00421E85"/>
    <w:rsid w:val="00437C02"/>
    <w:rsid w:val="00456077"/>
    <w:rsid w:val="00480CDC"/>
    <w:rsid w:val="004921E7"/>
    <w:rsid w:val="004A105B"/>
    <w:rsid w:val="004B393C"/>
    <w:rsid w:val="004C0F38"/>
    <w:rsid w:val="004C6C96"/>
    <w:rsid w:val="004C772F"/>
    <w:rsid w:val="004D3A35"/>
    <w:rsid w:val="004E28BF"/>
    <w:rsid w:val="0052674F"/>
    <w:rsid w:val="00533131"/>
    <w:rsid w:val="005577E5"/>
    <w:rsid w:val="00572BE2"/>
    <w:rsid w:val="00574EAF"/>
    <w:rsid w:val="00581FEC"/>
    <w:rsid w:val="005845FF"/>
    <w:rsid w:val="005E063D"/>
    <w:rsid w:val="0061172E"/>
    <w:rsid w:val="00627BD4"/>
    <w:rsid w:val="0066769E"/>
    <w:rsid w:val="006E224E"/>
    <w:rsid w:val="006F1A94"/>
    <w:rsid w:val="006F52A5"/>
    <w:rsid w:val="00713EFD"/>
    <w:rsid w:val="0071665B"/>
    <w:rsid w:val="00717299"/>
    <w:rsid w:val="0072736F"/>
    <w:rsid w:val="0074468D"/>
    <w:rsid w:val="00757632"/>
    <w:rsid w:val="0076102F"/>
    <w:rsid w:val="007A1348"/>
    <w:rsid w:val="00830D9D"/>
    <w:rsid w:val="00836D81"/>
    <w:rsid w:val="00837848"/>
    <w:rsid w:val="00860033"/>
    <w:rsid w:val="00870C73"/>
    <w:rsid w:val="008D26A1"/>
    <w:rsid w:val="008D4A75"/>
    <w:rsid w:val="00910162"/>
    <w:rsid w:val="00912931"/>
    <w:rsid w:val="00942D1B"/>
    <w:rsid w:val="00962A48"/>
    <w:rsid w:val="0099465B"/>
    <w:rsid w:val="009A6C01"/>
    <w:rsid w:val="009A7516"/>
    <w:rsid w:val="009D276A"/>
    <w:rsid w:val="009D59CC"/>
    <w:rsid w:val="009E2F26"/>
    <w:rsid w:val="009E571C"/>
    <w:rsid w:val="00A24F5C"/>
    <w:rsid w:val="00A27F8A"/>
    <w:rsid w:val="00A30C13"/>
    <w:rsid w:val="00A36E2B"/>
    <w:rsid w:val="00A50D7A"/>
    <w:rsid w:val="00A64167"/>
    <w:rsid w:val="00A84079"/>
    <w:rsid w:val="00A85F79"/>
    <w:rsid w:val="00AB2AEE"/>
    <w:rsid w:val="00AD2A85"/>
    <w:rsid w:val="00AE2B1D"/>
    <w:rsid w:val="00B1228E"/>
    <w:rsid w:val="00B20038"/>
    <w:rsid w:val="00B3117F"/>
    <w:rsid w:val="00B54731"/>
    <w:rsid w:val="00B62171"/>
    <w:rsid w:val="00BC2B9A"/>
    <w:rsid w:val="00BD0F63"/>
    <w:rsid w:val="00BF074F"/>
    <w:rsid w:val="00C325E7"/>
    <w:rsid w:val="00C41A62"/>
    <w:rsid w:val="00C63D36"/>
    <w:rsid w:val="00C67F6C"/>
    <w:rsid w:val="00C8645C"/>
    <w:rsid w:val="00C8737A"/>
    <w:rsid w:val="00CA00D0"/>
    <w:rsid w:val="00CC4FBA"/>
    <w:rsid w:val="00CD5B82"/>
    <w:rsid w:val="00CE0D68"/>
    <w:rsid w:val="00CF1C28"/>
    <w:rsid w:val="00D02AC5"/>
    <w:rsid w:val="00D102B8"/>
    <w:rsid w:val="00D13C76"/>
    <w:rsid w:val="00D5208E"/>
    <w:rsid w:val="00DA1220"/>
    <w:rsid w:val="00DB287D"/>
    <w:rsid w:val="00DB3CB9"/>
    <w:rsid w:val="00DC56DC"/>
    <w:rsid w:val="00DE4FF9"/>
    <w:rsid w:val="00DF1038"/>
    <w:rsid w:val="00DF3E38"/>
    <w:rsid w:val="00DF6F3F"/>
    <w:rsid w:val="00E244B0"/>
    <w:rsid w:val="00E40FC4"/>
    <w:rsid w:val="00E63654"/>
    <w:rsid w:val="00E80E83"/>
    <w:rsid w:val="00E81BCA"/>
    <w:rsid w:val="00EA155E"/>
    <w:rsid w:val="00F24C31"/>
    <w:rsid w:val="00F32545"/>
    <w:rsid w:val="00F574B5"/>
    <w:rsid w:val="00F767AA"/>
    <w:rsid w:val="00FA0968"/>
    <w:rsid w:val="00FB52F0"/>
    <w:rsid w:val="00FC360B"/>
    <w:rsid w:val="00FC4041"/>
    <w:rsid w:val="00FC5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A787F"/>
  <w15:chartTrackingRefBased/>
  <w15:docId w15:val="{674C041E-6AC6-46B8-A2D7-F2D5A82C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2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63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50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00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A1220"/>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DA1220"/>
    <w:rPr>
      <w:b/>
      <w:bCs/>
    </w:rPr>
  </w:style>
  <w:style w:type="character" w:styleId="Hyperlink">
    <w:name w:val="Hyperlink"/>
    <w:basedOn w:val="DefaultParagraphFont"/>
    <w:uiPriority w:val="99"/>
    <w:unhideWhenUsed/>
    <w:rsid w:val="00DA1220"/>
    <w:rPr>
      <w:color w:val="0563C1" w:themeColor="hyperlink"/>
      <w:u w:val="single"/>
    </w:rPr>
  </w:style>
  <w:style w:type="character" w:styleId="UnresolvedMention">
    <w:name w:val="Unresolved Mention"/>
    <w:basedOn w:val="DefaultParagraphFont"/>
    <w:uiPriority w:val="99"/>
    <w:semiHidden/>
    <w:unhideWhenUsed/>
    <w:rsid w:val="00DA1220"/>
    <w:rPr>
      <w:color w:val="605E5C"/>
      <w:shd w:val="clear" w:color="auto" w:fill="E1DFDD"/>
    </w:rPr>
  </w:style>
  <w:style w:type="character" w:styleId="IntenseReference">
    <w:name w:val="Intense Reference"/>
    <w:basedOn w:val="DefaultParagraphFont"/>
    <w:uiPriority w:val="32"/>
    <w:qFormat/>
    <w:rsid w:val="00153AD1"/>
    <w:rPr>
      <w:b/>
      <w:bCs/>
      <w:smallCaps/>
      <w:color w:val="4472C4" w:themeColor="accent1"/>
      <w:spacing w:val="5"/>
    </w:rPr>
  </w:style>
  <w:style w:type="character" w:styleId="IntenseEmphasis">
    <w:name w:val="Intense Emphasis"/>
    <w:basedOn w:val="DefaultParagraphFont"/>
    <w:uiPriority w:val="21"/>
    <w:qFormat/>
    <w:rsid w:val="00153AD1"/>
    <w:rPr>
      <w:i/>
      <w:iCs/>
      <w:color w:val="4472C4" w:themeColor="accent1"/>
    </w:rPr>
  </w:style>
  <w:style w:type="paragraph" w:styleId="ListParagraph">
    <w:name w:val="List Paragraph"/>
    <w:basedOn w:val="Normal"/>
    <w:uiPriority w:val="34"/>
    <w:qFormat/>
    <w:rsid w:val="00153AD1"/>
    <w:pPr>
      <w:ind w:left="720"/>
      <w:contextualSpacing/>
    </w:pPr>
  </w:style>
  <w:style w:type="paragraph" w:styleId="NormalWeb">
    <w:name w:val="Normal (Web)"/>
    <w:basedOn w:val="Normal"/>
    <w:uiPriority w:val="99"/>
    <w:semiHidden/>
    <w:unhideWhenUsed/>
    <w:rsid w:val="00CD5B82"/>
    <w:rPr>
      <w:rFonts w:ascii="Times New Roman" w:hAnsi="Times New Roman" w:cs="Times New Roman"/>
      <w:sz w:val="24"/>
      <w:szCs w:val="24"/>
    </w:rPr>
  </w:style>
  <w:style w:type="character" w:customStyle="1" w:styleId="Heading2Char">
    <w:name w:val="Heading 2 Char"/>
    <w:basedOn w:val="DefaultParagraphFont"/>
    <w:link w:val="Heading2"/>
    <w:uiPriority w:val="9"/>
    <w:rsid w:val="003B63B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52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3EB"/>
  </w:style>
  <w:style w:type="paragraph" w:styleId="Footer">
    <w:name w:val="footer"/>
    <w:basedOn w:val="Normal"/>
    <w:link w:val="FooterChar"/>
    <w:uiPriority w:val="99"/>
    <w:unhideWhenUsed/>
    <w:rsid w:val="00352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78107">
      <w:bodyDiv w:val="1"/>
      <w:marLeft w:val="0"/>
      <w:marRight w:val="0"/>
      <w:marTop w:val="0"/>
      <w:marBottom w:val="0"/>
      <w:divBdr>
        <w:top w:val="none" w:sz="0" w:space="0" w:color="auto"/>
        <w:left w:val="none" w:sz="0" w:space="0" w:color="auto"/>
        <w:bottom w:val="none" w:sz="0" w:space="0" w:color="auto"/>
        <w:right w:val="none" w:sz="0" w:space="0" w:color="auto"/>
      </w:divBdr>
    </w:div>
    <w:div w:id="33432449">
      <w:bodyDiv w:val="1"/>
      <w:marLeft w:val="0"/>
      <w:marRight w:val="0"/>
      <w:marTop w:val="0"/>
      <w:marBottom w:val="0"/>
      <w:divBdr>
        <w:top w:val="none" w:sz="0" w:space="0" w:color="auto"/>
        <w:left w:val="none" w:sz="0" w:space="0" w:color="auto"/>
        <w:bottom w:val="none" w:sz="0" w:space="0" w:color="auto"/>
        <w:right w:val="none" w:sz="0" w:space="0" w:color="auto"/>
      </w:divBdr>
      <w:divsChild>
        <w:div w:id="105346236">
          <w:marLeft w:val="0"/>
          <w:marRight w:val="0"/>
          <w:marTop w:val="0"/>
          <w:marBottom w:val="0"/>
          <w:divBdr>
            <w:top w:val="none" w:sz="0" w:space="0" w:color="auto"/>
            <w:left w:val="none" w:sz="0" w:space="0" w:color="auto"/>
            <w:bottom w:val="none" w:sz="0" w:space="0" w:color="auto"/>
            <w:right w:val="none" w:sz="0" w:space="0" w:color="auto"/>
          </w:divBdr>
        </w:div>
      </w:divsChild>
    </w:div>
    <w:div w:id="156267587">
      <w:bodyDiv w:val="1"/>
      <w:marLeft w:val="0"/>
      <w:marRight w:val="0"/>
      <w:marTop w:val="0"/>
      <w:marBottom w:val="0"/>
      <w:divBdr>
        <w:top w:val="none" w:sz="0" w:space="0" w:color="auto"/>
        <w:left w:val="none" w:sz="0" w:space="0" w:color="auto"/>
        <w:bottom w:val="none" w:sz="0" w:space="0" w:color="auto"/>
        <w:right w:val="none" w:sz="0" w:space="0" w:color="auto"/>
      </w:divBdr>
      <w:divsChild>
        <w:div w:id="1067605879">
          <w:marLeft w:val="0"/>
          <w:marRight w:val="0"/>
          <w:marTop w:val="0"/>
          <w:marBottom w:val="0"/>
          <w:divBdr>
            <w:top w:val="none" w:sz="0" w:space="0" w:color="auto"/>
            <w:left w:val="none" w:sz="0" w:space="0" w:color="auto"/>
            <w:bottom w:val="none" w:sz="0" w:space="0" w:color="auto"/>
            <w:right w:val="none" w:sz="0" w:space="0" w:color="auto"/>
          </w:divBdr>
        </w:div>
      </w:divsChild>
    </w:div>
    <w:div w:id="403380511">
      <w:bodyDiv w:val="1"/>
      <w:marLeft w:val="0"/>
      <w:marRight w:val="0"/>
      <w:marTop w:val="0"/>
      <w:marBottom w:val="0"/>
      <w:divBdr>
        <w:top w:val="none" w:sz="0" w:space="0" w:color="auto"/>
        <w:left w:val="none" w:sz="0" w:space="0" w:color="auto"/>
        <w:bottom w:val="none" w:sz="0" w:space="0" w:color="auto"/>
        <w:right w:val="none" w:sz="0" w:space="0" w:color="auto"/>
      </w:divBdr>
    </w:div>
    <w:div w:id="506099755">
      <w:bodyDiv w:val="1"/>
      <w:marLeft w:val="0"/>
      <w:marRight w:val="0"/>
      <w:marTop w:val="0"/>
      <w:marBottom w:val="0"/>
      <w:divBdr>
        <w:top w:val="none" w:sz="0" w:space="0" w:color="auto"/>
        <w:left w:val="none" w:sz="0" w:space="0" w:color="auto"/>
        <w:bottom w:val="none" w:sz="0" w:space="0" w:color="auto"/>
        <w:right w:val="none" w:sz="0" w:space="0" w:color="auto"/>
      </w:divBdr>
    </w:div>
    <w:div w:id="554465259">
      <w:bodyDiv w:val="1"/>
      <w:marLeft w:val="0"/>
      <w:marRight w:val="0"/>
      <w:marTop w:val="0"/>
      <w:marBottom w:val="0"/>
      <w:divBdr>
        <w:top w:val="none" w:sz="0" w:space="0" w:color="auto"/>
        <w:left w:val="none" w:sz="0" w:space="0" w:color="auto"/>
        <w:bottom w:val="none" w:sz="0" w:space="0" w:color="auto"/>
        <w:right w:val="none" w:sz="0" w:space="0" w:color="auto"/>
      </w:divBdr>
      <w:divsChild>
        <w:div w:id="894127771">
          <w:marLeft w:val="0"/>
          <w:marRight w:val="0"/>
          <w:marTop w:val="0"/>
          <w:marBottom w:val="0"/>
          <w:divBdr>
            <w:top w:val="none" w:sz="0" w:space="0" w:color="auto"/>
            <w:left w:val="none" w:sz="0" w:space="0" w:color="auto"/>
            <w:bottom w:val="none" w:sz="0" w:space="0" w:color="auto"/>
            <w:right w:val="none" w:sz="0" w:space="0" w:color="auto"/>
          </w:divBdr>
        </w:div>
      </w:divsChild>
    </w:div>
    <w:div w:id="555508384">
      <w:bodyDiv w:val="1"/>
      <w:marLeft w:val="0"/>
      <w:marRight w:val="0"/>
      <w:marTop w:val="0"/>
      <w:marBottom w:val="0"/>
      <w:divBdr>
        <w:top w:val="none" w:sz="0" w:space="0" w:color="auto"/>
        <w:left w:val="none" w:sz="0" w:space="0" w:color="auto"/>
        <w:bottom w:val="none" w:sz="0" w:space="0" w:color="auto"/>
        <w:right w:val="none" w:sz="0" w:space="0" w:color="auto"/>
      </w:divBdr>
      <w:divsChild>
        <w:div w:id="1748840502">
          <w:marLeft w:val="0"/>
          <w:marRight w:val="0"/>
          <w:marTop w:val="0"/>
          <w:marBottom w:val="0"/>
          <w:divBdr>
            <w:top w:val="none" w:sz="0" w:space="0" w:color="auto"/>
            <w:left w:val="none" w:sz="0" w:space="0" w:color="auto"/>
            <w:bottom w:val="none" w:sz="0" w:space="0" w:color="auto"/>
            <w:right w:val="none" w:sz="0" w:space="0" w:color="auto"/>
          </w:divBdr>
        </w:div>
      </w:divsChild>
    </w:div>
    <w:div w:id="568198595">
      <w:bodyDiv w:val="1"/>
      <w:marLeft w:val="0"/>
      <w:marRight w:val="0"/>
      <w:marTop w:val="0"/>
      <w:marBottom w:val="0"/>
      <w:divBdr>
        <w:top w:val="none" w:sz="0" w:space="0" w:color="auto"/>
        <w:left w:val="none" w:sz="0" w:space="0" w:color="auto"/>
        <w:bottom w:val="none" w:sz="0" w:space="0" w:color="auto"/>
        <w:right w:val="none" w:sz="0" w:space="0" w:color="auto"/>
      </w:divBdr>
    </w:div>
    <w:div w:id="589436934">
      <w:bodyDiv w:val="1"/>
      <w:marLeft w:val="0"/>
      <w:marRight w:val="0"/>
      <w:marTop w:val="0"/>
      <w:marBottom w:val="0"/>
      <w:divBdr>
        <w:top w:val="none" w:sz="0" w:space="0" w:color="auto"/>
        <w:left w:val="none" w:sz="0" w:space="0" w:color="auto"/>
        <w:bottom w:val="none" w:sz="0" w:space="0" w:color="auto"/>
        <w:right w:val="none" w:sz="0" w:space="0" w:color="auto"/>
      </w:divBdr>
      <w:divsChild>
        <w:div w:id="918519497">
          <w:marLeft w:val="0"/>
          <w:marRight w:val="0"/>
          <w:marTop w:val="0"/>
          <w:marBottom w:val="0"/>
          <w:divBdr>
            <w:top w:val="none" w:sz="0" w:space="0" w:color="auto"/>
            <w:left w:val="none" w:sz="0" w:space="0" w:color="auto"/>
            <w:bottom w:val="none" w:sz="0" w:space="0" w:color="auto"/>
            <w:right w:val="none" w:sz="0" w:space="0" w:color="auto"/>
          </w:divBdr>
        </w:div>
      </w:divsChild>
    </w:div>
    <w:div w:id="633173250">
      <w:bodyDiv w:val="1"/>
      <w:marLeft w:val="0"/>
      <w:marRight w:val="0"/>
      <w:marTop w:val="0"/>
      <w:marBottom w:val="0"/>
      <w:divBdr>
        <w:top w:val="none" w:sz="0" w:space="0" w:color="auto"/>
        <w:left w:val="none" w:sz="0" w:space="0" w:color="auto"/>
        <w:bottom w:val="none" w:sz="0" w:space="0" w:color="auto"/>
        <w:right w:val="none" w:sz="0" w:space="0" w:color="auto"/>
      </w:divBdr>
    </w:div>
    <w:div w:id="674379702">
      <w:bodyDiv w:val="1"/>
      <w:marLeft w:val="0"/>
      <w:marRight w:val="0"/>
      <w:marTop w:val="0"/>
      <w:marBottom w:val="0"/>
      <w:divBdr>
        <w:top w:val="none" w:sz="0" w:space="0" w:color="auto"/>
        <w:left w:val="none" w:sz="0" w:space="0" w:color="auto"/>
        <w:bottom w:val="none" w:sz="0" w:space="0" w:color="auto"/>
        <w:right w:val="none" w:sz="0" w:space="0" w:color="auto"/>
      </w:divBdr>
    </w:div>
    <w:div w:id="680278682">
      <w:bodyDiv w:val="1"/>
      <w:marLeft w:val="0"/>
      <w:marRight w:val="0"/>
      <w:marTop w:val="0"/>
      <w:marBottom w:val="0"/>
      <w:divBdr>
        <w:top w:val="none" w:sz="0" w:space="0" w:color="auto"/>
        <w:left w:val="none" w:sz="0" w:space="0" w:color="auto"/>
        <w:bottom w:val="none" w:sz="0" w:space="0" w:color="auto"/>
        <w:right w:val="none" w:sz="0" w:space="0" w:color="auto"/>
      </w:divBdr>
    </w:div>
    <w:div w:id="716248090">
      <w:bodyDiv w:val="1"/>
      <w:marLeft w:val="0"/>
      <w:marRight w:val="0"/>
      <w:marTop w:val="0"/>
      <w:marBottom w:val="0"/>
      <w:divBdr>
        <w:top w:val="none" w:sz="0" w:space="0" w:color="auto"/>
        <w:left w:val="none" w:sz="0" w:space="0" w:color="auto"/>
        <w:bottom w:val="none" w:sz="0" w:space="0" w:color="auto"/>
        <w:right w:val="none" w:sz="0" w:space="0" w:color="auto"/>
      </w:divBdr>
    </w:div>
    <w:div w:id="724254164">
      <w:bodyDiv w:val="1"/>
      <w:marLeft w:val="0"/>
      <w:marRight w:val="0"/>
      <w:marTop w:val="0"/>
      <w:marBottom w:val="0"/>
      <w:divBdr>
        <w:top w:val="none" w:sz="0" w:space="0" w:color="auto"/>
        <w:left w:val="none" w:sz="0" w:space="0" w:color="auto"/>
        <w:bottom w:val="none" w:sz="0" w:space="0" w:color="auto"/>
        <w:right w:val="none" w:sz="0" w:space="0" w:color="auto"/>
      </w:divBdr>
    </w:div>
    <w:div w:id="729617589">
      <w:bodyDiv w:val="1"/>
      <w:marLeft w:val="0"/>
      <w:marRight w:val="0"/>
      <w:marTop w:val="0"/>
      <w:marBottom w:val="0"/>
      <w:divBdr>
        <w:top w:val="none" w:sz="0" w:space="0" w:color="auto"/>
        <w:left w:val="none" w:sz="0" w:space="0" w:color="auto"/>
        <w:bottom w:val="none" w:sz="0" w:space="0" w:color="auto"/>
        <w:right w:val="none" w:sz="0" w:space="0" w:color="auto"/>
      </w:divBdr>
    </w:div>
    <w:div w:id="761296502">
      <w:bodyDiv w:val="1"/>
      <w:marLeft w:val="0"/>
      <w:marRight w:val="0"/>
      <w:marTop w:val="0"/>
      <w:marBottom w:val="0"/>
      <w:divBdr>
        <w:top w:val="none" w:sz="0" w:space="0" w:color="auto"/>
        <w:left w:val="none" w:sz="0" w:space="0" w:color="auto"/>
        <w:bottom w:val="none" w:sz="0" w:space="0" w:color="auto"/>
        <w:right w:val="none" w:sz="0" w:space="0" w:color="auto"/>
      </w:divBdr>
    </w:div>
    <w:div w:id="821122385">
      <w:bodyDiv w:val="1"/>
      <w:marLeft w:val="0"/>
      <w:marRight w:val="0"/>
      <w:marTop w:val="0"/>
      <w:marBottom w:val="0"/>
      <w:divBdr>
        <w:top w:val="none" w:sz="0" w:space="0" w:color="auto"/>
        <w:left w:val="none" w:sz="0" w:space="0" w:color="auto"/>
        <w:bottom w:val="none" w:sz="0" w:space="0" w:color="auto"/>
        <w:right w:val="none" w:sz="0" w:space="0" w:color="auto"/>
      </w:divBdr>
      <w:divsChild>
        <w:div w:id="737938731">
          <w:marLeft w:val="0"/>
          <w:marRight w:val="0"/>
          <w:marTop w:val="0"/>
          <w:marBottom w:val="0"/>
          <w:divBdr>
            <w:top w:val="none" w:sz="0" w:space="0" w:color="auto"/>
            <w:left w:val="none" w:sz="0" w:space="0" w:color="auto"/>
            <w:bottom w:val="none" w:sz="0" w:space="0" w:color="auto"/>
            <w:right w:val="none" w:sz="0" w:space="0" w:color="auto"/>
          </w:divBdr>
        </w:div>
      </w:divsChild>
    </w:div>
    <w:div w:id="863783670">
      <w:bodyDiv w:val="1"/>
      <w:marLeft w:val="0"/>
      <w:marRight w:val="0"/>
      <w:marTop w:val="0"/>
      <w:marBottom w:val="0"/>
      <w:divBdr>
        <w:top w:val="none" w:sz="0" w:space="0" w:color="auto"/>
        <w:left w:val="none" w:sz="0" w:space="0" w:color="auto"/>
        <w:bottom w:val="none" w:sz="0" w:space="0" w:color="auto"/>
        <w:right w:val="none" w:sz="0" w:space="0" w:color="auto"/>
      </w:divBdr>
    </w:div>
    <w:div w:id="947204009">
      <w:bodyDiv w:val="1"/>
      <w:marLeft w:val="0"/>
      <w:marRight w:val="0"/>
      <w:marTop w:val="0"/>
      <w:marBottom w:val="0"/>
      <w:divBdr>
        <w:top w:val="none" w:sz="0" w:space="0" w:color="auto"/>
        <w:left w:val="none" w:sz="0" w:space="0" w:color="auto"/>
        <w:bottom w:val="none" w:sz="0" w:space="0" w:color="auto"/>
        <w:right w:val="none" w:sz="0" w:space="0" w:color="auto"/>
      </w:divBdr>
    </w:div>
    <w:div w:id="977567164">
      <w:bodyDiv w:val="1"/>
      <w:marLeft w:val="0"/>
      <w:marRight w:val="0"/>
      <w:marTop w:val="0"/>
      <w:marBottom w:val="0"/>
      <w:divBdr>
        <w:top w:val="none" w:sz="0" w:space="0" w:color="auto"/>
        <w:left w:val="none" w:sz="0" w:space="0" w:color="auto"/>
        <w:bottom w:val="none" w:sz="0" w:space="0" w:color="auto"/>
        <w:right w:val="none" w:sz="0" w:space="0" w:color="auto"/>
      </w:divBdr>
    </w:div>
    <w:div w:id="991717349">
      <w:bodyDiv w:val="1"/>
      <w:marLeft w:val="0"/>
      <w:marRight w:val="0"/>
      <w:marTop w:val="0"/>
      <w:marBottom w:val="0"/>
      <w:divBdr>
        <w:top w:val="none" w:sz="0" w:space="0" w:color="auto"/>
        <w:left w:val="none" w:sz="0" w:space="0" w:color="auto"/>
        <w:bottom w:val="none" w:sz="0" w:space="0" w:color="auto"/>
        <w:right w:val="none" w:sz="0" w:space="0" w:color="auto"/>
      </w:divBdr>
      <w:divsChild>
        <w:div w:id="1358235086">
          <w:marLeft w:val="0"/>
          <w:marRight w:val="0"/>
          <w:marTop w:val="0"/>
          <w:marBottom w:val="0"/>
          <w:divBdr>
            <w:top w:val="none" w:sz="0" w:space="0" w:color="auto"/>
            <w:left w:val="none" w:sz="0" w:space="0" w:color="auto"/>
            <w:bottom w:val="none" w:sz="0" w:space="0" w:color="auto"/>
            <w:right w:val="none" w:sz="0" w:space="0" w:color="auto"/>
          </w:divBdr>
        </w:div>
      </w:divsChild>
    </w:div>
    <w:div w:id="1156609322">
      <w:bodyDiv w:val="1"/>
      <w:marLeft w:val="0"/>
      <w:marRight w:val="0"/>
      <w:marTop w:val="0"/>
      <w:marBottom w:val="0"/>
      <w:divBdr>
        <w:top w:val="none" w:sz="0" w:space="0" w:color="auto"/>
        <w:left w:val="none" w:sz="0" w:space="0" w:color="auto"/>
        <w:bottom w:val="none" w:sz="0" w:space="0" w:color="auto"/>
        <w:right w:val="none" w:sz="0" w:space="0" w:color="auto"/>
      </w:divBdr>
    </w:div>
    <w:div w:id="1254784393">
      <w:bodyDiv w:val="1"/>
      <w:marLeft w:val="0"/>
      <w:marRight w:val="0"/>
      <w:marTop w:val="0"/>
      <w:marBottom w:val="0"/>
      <w:divBdr>
        <w:top w:val="none" w:sz="0" w:space="0" w:color="auto"/>
        <w:left w:val="none" w:sz="0" w:space="0" w:color="auto"/>
        <w:bottom w:val="none" w:sz="0" w:space="0" w:color="auto"/>
        <w:right w:val="none" w:sz="0" w:space="0" w:color="auto"/>
      </w:divBdr>
      <w:divsChild>
        <w:div w:id="1349522522">
          <w:marLeft w:val="0"/>
          <w:marRight w:val="0"/>
          <w:marTop w:val="0"/>
          <w:marBottom w:val="0"/>
          <w:divBdr>
            <w:top w:val="none" w:sz="0" w:space="0" w:color="auto"/>
            <w:left w:val="none" w:sz="0" w:space="0" w:color="auto"/>
            <w:bottom w:val="none" w:sz="0" w:space="0" w:color="auto"/>
            <w:right w:val="none" w:sz="0" w:space="0" w:color="auto"/>
          </w:divBdr>
        </w:div>
      </w:divsChild>
    </w:div>
    <w:div w:id="1270620985">
      <w:bodyDiv w:val="1"/>
      <w:marLeft w:val="0"/>
      <w:marRight w:val="0"/>
      <w:marTop w:val="0"/>
      <w:marBottom w:val="0"/>
      <w:divBdr>
        <w:top w:val="none" w:sz="0" w:space="0" w:color="auto"/>
        <w:left w:val="none" w:sz="0" w:space="0" w:color="auto"/>
        <w:bottom w:val="none" w:sz="0" w:space="0" w:color="auto"/>
        <w:right w:val="none" w:sz="0" w:space="0" w:color="auto"/>
      </w:divBdr>
    </w:div>
    <w:div w:id="1304850775">
      <w:bodyDiv w:val="1"/>
      <w:marLeft w:val="0"/>
      <w:marRight w:val="0"/>
      <w:marTop w:val="0"/>
      <w:marBottom w:val="0"/>
      <w:divBdr>
        <w:top w:val="none" w:sz="0" w:space="0" w:color="auto"/>
        <w:left w:val="none" w:sz="0" w:space="0" w:color="auto"/>
        <w:bottom w:val="none" w:sz="0" w:space="0" w:color="auto"/>
        <w:right w:val="none" w:sz="0" w:space="0" w:color="auto"/>
      </w:divBdr>
    </w:div>
    <w:div w:id="1330600801">
      <w:bodyDiv w:val="1"/>
      <w:marLeft w:val="0"/>
      <w:marRight w:val="0"/>
      <w:marTop w:val="0"/>
      <w:marBottom w:val="0"/>
      <w:divBdr>
        <w:top w:val="none" w:sz="0" w:space="0" w:color="auto"/>
        <w:left w:val="none" w:sz="0" w:space="0" w:color="auto"/>
        <w:bottom w:val="none" w:sz="0" w:space="0" w:color="auto"/>
        <w:right w:val="none" w:sz="0" w:space="0" w:color="auto"/>
      </w:divBdr>
    </w:div>
    <w:div w:id="1331105877">
      <w:bodyDiv w:val="1"/>
      <w:marLeft w:val="0"/>
      <w:marRight w:val="0"/>
      <w:marTop w:val="0"/>
      <w:marBottom w:val="0"/>
      <w:divBdr>
        <w:top w:val="none" w:sz="0" w:space="0" w:color="auto"/>
        <w:left w:val="none" w:sz="0" w:space="0" w:color="auto"/>
        <w:bottom w:val="none" w:sz="0" w:space="0" w:color="auto"/>
        <w:right w:val="none" w:sz="0" w:space="0" w:color="auto"/>
      </w:divBdr>
    </w:div>
    <w:div w:id="1381399463">
      <w:bodyDiv w:val="1"/>
      <w:marLeft w:val="0"/>
      <w:marRight w:val="0"/>
      <w:marTop w:val="0"/>
      <w:marBottom w:val="0"/>
      <w:divBdr>
        <w:top w:val="none" w:sz="0" w:space="0" w:color="auto"/>
        <w:left w:val="none" w:sz="0" w:space="0" w:color="auto"/>
        <w:bottom w:val="none" w:sz="0" w:space="0" w:color="auto"/>
        <w:right w:val="none" w:sz="0" w:space="0" w:color="auto"/>
      </w:divBdr>
    </w:div>
    <w:div w:id="1410231258">
      <w:bodyDiv w:val="1"/>
      <w:marLeft w:val="0"/>
      <w:marRight w:val="0"/>
      <w:marTop w:val="0"/>
      <w:marBottom w:val="0"/>
      <w:divBdr>
        <w:top w:val="none" w:sz="0" w:space="0" w:color="auto"/>
        <w:left w:val="none" w:sz="0" w:space="0" w:color="auto"/>
        <w:bottom w:val="none" w:sz="0" w:space="0" w:color="auto"/>
        <w:right w:val="none" w:sz="0" w:space="0" w:color="auto"/>
      </w:divBdr>
    </w:div>
    <w:div w:id="1424375144">
      <w:bodyDiv w:val="1"/>
      <w:marLeft w:val="0"/>
      <w:marRight w:val="0"/>
      <w:marTop w:val="0"/>
      <w:marBottom w:val="0"/>
      <w:divBdr>
        <w:top w:val="none" w:sz="0" w:space="0" w:color="auto"/>
        <w:left w:val="none" w:sz="0" w:space="0" w:color="auto"/>
        <w:bottom w:val="none" w:sz="0" w:space="0" w:color="auto"/>
        <w:right w:val="none" w:sz="0" w:space="0" w:color="auto"/>
      </w:divBdr>
      <w:divsChild>
        <w:div w:id="1158573820">
          <w:marLeft w:val="0"/>
          <w:marRight w:val="0"/>
          <w:marTop w:val="0"/>
          <w:marBottom w:val="0"/>
          <w:divBdr>
            <w:top w:val="none" w:sz="0" w:space="0" w:color="auto"/>
            <w:left w:val="none" w:sz="0" w:space="0" w:color="auto"/>
            <w:bottom w:val="none" w:sz="0" w:space="0" w:color="auto"/>
            <w:right w:val="none" w:sz="0" w:space="0" w:color="auto"/>
          </w:divBdr>
        </w:div>
      </w:divsChild>
    </w:div>
    <w:div w:id="1432168182">
      <w:bodyDiv w:val="1"/>
      <w:marLeft w:val="0"/>
      <w:marRight w:val="0"/>
      <w:marTop w:val="0"/>
      <w:marBottom w:val="0"/>
      <w:divBdr>
        <w:top w:val="none" w:sz="0" w:space="0" w:color="auto"/>
        <w:left w:val="none" w:sz="0" w:space="0" w:color="auto"/>
        <w:bottom w:val="none" w:sz="0" w:space="0" w:color="auto"/>
        <w:right w:val="none" w:sz="0" w:space="0" w:color="auto"/>
      </w:divBdr>
    </w:div>
    <w:div w:id="1440566248">
      <w:bodyDiv w:val="1"/>
      <w:marLeft w:val="0"/>
      <w:marRight w:val="0"/>
      <w:marTop w:val="0"/>
      <w:marBottom w:val="0"/>
      <w:divBdr>
        <w:top w:val="none" w:sz="0" w:space="0" w:color="auto"/>
        <w:left w:val="none" w:sz="0" w:space="0" w:color="auto"/>
        <w:bottom w:val="none" w:sz="0" w:space="0" w:color="auto"/>
        <w:right w:val="none" w:sz="0" w:space="0" w:color="auto"/>
      </w:divBdr>
    </w:div>
    <w:div w:id="1605724002">
      <w:bodyDiv w:val="1"/>
      <w:marLeft w:val="0"/>
      <w:marRight w:val="0"/>
      <w:marTop w:val="0"/>
      <w:marBottom w:val="0"/>
      <w:divBdr>
        <w:top w:val="none" w:sz="0" w:space="0" w:color="auto"/>
        <w:left w:val="none" w:sz="0" w:space="0" w:color="auto"/>
        <w:bottom w:val="none" w:sz="0" w:space="0" w:color="auto"/>
        <w:right w:val="none" w:sz="0" w:space="0" w:color="auto"/>
      </w:divBdr>
    </w:div>
    <w:div w:id="1606687326">
      <w:bodyDiv w:val="1"/>
      <w:marLeft w:val="0"/>
      <w:marRight w:val="0"/>
      <w:marTop w:val="0"/>
      <w:marBottom w:val="0"/>
      <w:divBdr>
        <w:top w:val="none" w:sz="0" w:space="0" w:color="auto"/>
        <w:left w:val="none" w:sz="0" w:space="0" w:color="auto"/>
        <w:bottom w:val="none" w:sz="0" w:space="0" w:color="auto"/>
        <w:right w:val="none" w:sz="0" w:space="0" w:color="auto"/>
      </w:divBdr>
    </w:div>
    <w:div w:id="1764763782">
      <w:bodyDiv w:val="1"/>
      <w:marLeft w:val="0"/>
      <w:marRight w:val="0"/>
      <w:marTop w:val="0"/>
      <w:marBottom w:val="0"/>
      <w:divBdr>
        <w:top w:val="none" w:sz="0" w:space="0" w:color="auto"/>
        <w:left w:val="none" w:sz="0" w:space="0" w:color="auto"/>
        <w:bottom w:val="none" w:sz="0" w:space="0" w:color="auto"/>
        <w:right w:val="none" w:sz="0" w:space="0" w:color="auto"/>
      </w:divBdr>
    </w:div>
    <w:div w:id="1782263995">
      <w:bodyDiv w:val="1"/>
      <w:marLeft w:val="0"/>
      <w:marRight w:val="0"/>
      <w:marTop w:val="0"/>
      <w:marBottom w:val="0"/>
      <w:divBdr>
        <w:top w:val="none" w:sz="0" w:space="0" w:color="auto"/>
        <w:left w:val="none" w:sz="0" w:space="0" w:color="auto"/>
        <w:bottom w:val="none" w:sz="0" w:space="0" w:color="auto"/>
        <w:right w:val="none" w:sz="0" w:space="0" w:color="auto"/>
      </w:divBdr>
    </w:div>
    <w:div w:id="1906867552">
      <w:bodyDiv w:val="1"/>
      <w:marLeft w:val="0"/>
      <w:marRight w:val="0"/>
      <w:marTop w:val="0"/>
      <w:marBottom w:val="0"/>
      <w:divBdr>
        <w:top w:val="none" w:sz="0" w:space="0" w:color="auto"/>
        <w:left w:val="none" w:sz="0" w:space="0" w:color="auto"/>
        <w:bottom w:val="none" w:sz="0" w:space="0" w:color="auto"/>
        <w:right w:val="none" w:sz="0" w:space="0" w:color="auto"/>
      </w:divBdr>
      <w:divsChild>
        <w:div w:id="81532058">
          <w:marLeft w:val="0"/>
          <w:marRight w:val="0"/>
          <w:marTop w:val="0"/>
          <w:marBottom w:val="0"/>
          <w:divBdr>
            <w:top w:val="none" w:sz="0" w:space="0" w:color="auto"/>
            <w:left w:val="none" w:sz="0" w:space="0" w:color="auto"/>
            <w:bottom w:val="none" w:sz="0" w:space="0" w:color="auto"/>
            <w:right w:val="none" w:sz="0" w:space="0" w:color="auto"/>
          </w:divBdr>
        </w:div>
      </w:divsChild>
    </w:div>
    <w:div w:id="1909416140">
      <w:bodyDiv w:val="1"/>
      <w:marLeft w:val="0"/>
      <w:marRight w:val="0"/>
      <w:marTop w:val="0"/>
      <w:marBottom w:val="0"/>
      <w:divBdr>
        <w:top w:val="none" w:sz="0" w:space="0" w:color="auto"/>
        <w:left w:val="none" w:sz="0" w:space="0" w:color="auto"/>
        <w:bottom w:val="none" w:sz="0" w:space="0" w:color="auto"/>
        <w:right w:val="none" w:sz="0" w:space="0" w:color="auto"/>
      </w:divBdr>
    </w:div>
    <w:div w:id="2086681194">
      <w:bodyDiv w:val="1"/>
      <w:marLeft w:val="0"/>
      <w:marRight w:val="0"/>
      <w:marTop w:val="0"/>
      <w:marBottom w:val="0"/>
      <w:divBdr>
        <w:top w:val="none" w:sz="0" w:space="0" w:color="auto"/>
        <w:left w:val="none" w:sz="0" w:space="0" w:color="auto"/>
        <w:bottom w:val="none" w:sz="0" w:space="0" w:color="auto"/>
        <w:right w:val="none" w:sz="0" w:space="0" w:color="auto"/>
      </w:divBdr>
    </w:div>
    <w:div w:id="2091584810">
      <w:bodyDiv w:val="1"/>
      <w:marLeft w:val="0"/>
      <w:marRight w:val="0"/>
      <w:marTop w:val="0"/>
      <w:marBottom w:val="0"/>
      <w:divBdr>
        <w:top w:val="none" w:sz="0" w:space="0" w:color="auto"/>
        <w:left w:val="none" w:sz="0" w:space="0" w:color="auto"/>
        <w:bottom w:val="none" w:sz="0" w:space="0" w:color="auto"/>
        <w:right w:val="none" w:sz="0" w:space="0" w:color="auto"/>
      </w:divBdr>
    </w:div>
    <w:div w:id="2105496347">
      <w:bodyDiv w:val="1"/>
      <w:marLeft w:val="0"/>
      <w:marRight w:val="0"/>
      <w:marTop w:val="0"/>
      <w:marBottom w:val="0"/>
      <w:divBdr>
        <w:top w:val="none" w:sz="0" w:space="0" w:color="auto"/>
        <w:left w:val="none" w:sz="0" w:space="0" w:color="auto"/>
        <w:bottom w:val="none" w:sz="0" w:space="0" w:color="auto"/>
        <w:right w:val="none" w:sz="0" w:space="0" w:color="auto"/>
      </w:divBdr>
    </w:div>
    <w:div w:id="214461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President_of_Indi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 Rishi</dc:creator>
  <cp:keywords/>
  <dc:description/>
  <cp:lastModifiedBy>Likhit Rishi</cp:lastModifiedBy>
  <cp:revision>2</cp:revision>
  <dcterms:created xsi:type="dcterms:W3CDTF">2026-07-01T15:18:00Z</dcterms:created>
  <dcterms:modified xsi:type="dcterms:W3CDTF">2026-07-01T15:18:00Z</dcterms:modified>
</cp:coreProperties>
</file>