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8B8B"/>
          <w:sz w:val="22"/>
          <w:szCs w:val="22"/>
        </w:rPr>
        <w:t xml:space="preserve">TIDES BOOKKEEPING</w:t>
      </w:r>
    </w:p>
    <w:p>
      <w:pPr>
        <w:spacing w:after="40"/>
      </w:pPr>
      <w:r>
        <w:rPr>
          <w:b/>
          <w:bCs/>
          <w:color w:val="1F3A5F"/>
          <w:sz w:val="36"/>
          <w:szCs w:val="36"/>
        </w:rPr>
        <w:t xml:space="preserve">The Rental Home Co — Call Prep &amp; Engagement Quote</w:t>
      </w:r>
    </w:p>
    <w:p>
      <w:pPr>
        <w:pBdr>
          <w:bottom w:val="single" w:color="2E8B8B" w:sz="6" w:space="1"/>
        </w:pBdr>
        <w:spacing w:after="160"/>
      </w:pPr>
      <w:r>
        <w:rPr>
          <w:i/>
          <w:iCs/>
          <w:color w:val="555555"/>
          <w:sz w:val="20"/>
          <w:szCs w:val="20"/>
        </w:rPr>
        <w:t xml:space="preserve">Prospect: Cale &amp; Raegen Ferguson, Gilbert SC  •  Prepared for the owner call  •  June 30, 2026</w:t>
      </w:r>
    </w:p>
    <w:p>
      <w:pPr>
        <w:pStyle w:val="Heading1"/>
      </w:pPr>
      <w:r>
        <w:t xml:space="preserve">The situation in one paragraph</w:t>
      </w:r>
    </w:p>
    <w:p>
      <w:pPr>
        <w:spacing w:after="120"/>
      </w:pPr>
      <w:r>
        <w:t xml:space="preserve">What looked like one business with messy classes is actually </w:t>
      </w:r>
      <w:r>
        <w:rPr>
          <w:b/>
          <w:bCs/>
        </w:rPr>
        <w:t xml:space="preserve">two legal entities commingled in a single QuickBooks file</w:t>
      </w:r>
      <w:r>
        <w:t xml:space="preserve"> — an S-corp (the flip / active side, currently the “Second Mile” class group) and an LLC (the buy-and-hold rentals, currently the “Rental Home Co” class group). Class tracking inside one file cannot produce two separate tax returns. Before 2025 can be filed, the file has to be split into two company books, with every transaction mapped to the right entity and the shared “Operating” overhead allocated correctly. The books themselves are well kept — this is a structural separation, not a rescue of bad bookkeeping.</w:t>
      </w:r>
    </w:p>
    <w:p>
      <w:pPr>
        <w:pStyle w:val="Heading2"/>
      </w:pPr>
      <w:r>
        <w:t xml:space="preserve">What the file shows (verified from the by-class P&amp;Ls)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val="false"/>
                <w:bCs w:val="false"/>
                <w:color w:val="222222"/>
              </w:rPr>
              <w:t xml:space="preserve"/>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right"/>
            </w:pPr>
            <w:r>
              <w:rPr>
                <w:b/>
                <w:bCs/>
                <w:color w:val="FFFFFF"/>
              </w:rPr>
              <w:t xml:space="preserve">2025 (full year)</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right"/>
            </w:pPr>
            <w:r>
              <w:rPr>
                <w:b/>
                <w:bCs/>
                <w:color w:val="FFFFFF"/>
              </w:rPr>
              <w:t xml:space="preserve">2026 (Jan–Jun)</w:t>
            </w:r>
          </w:p>
        </w:tc>
      </w:tr>
      <w:tr>
        <w:tc>
          <w:tcPr>
            <w:tcW w:type="dxa" w:w="312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bCs/>
                <w:color w:val="222222"/>
              </w:rPr>
              <w:t xml:space="preserve">Total revenue</w:t>
            </w:r>
          </w:p>
        </w:tc>
        <w:tc>
          <w:tcPr>
            <w:tcW w:type="dxa" w:w="312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right"/>
            </w:pPr>
            <w:r>
              <w:rPr>
                <w:b w:val="false"/>
                <w:bCs w:val="false"/>
                <w:color w:val="222222"/>
              </w:rPr>
              <w:t xml:space="preserve">$1,308,740</w:t>
            </w:r>
          </w:p>
        </w:tc>
        <w:tc>
          <w:tcPr>
            <w:tcW w:type="dxa" w:w="312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right"/>
            </w:pPr>
            <w:r>
              <w:rPr>
                <w:b w:val="false"/>
                <w:bCs w:val="false"/>
                <w:color w:val="222222"/>
              </w:rPr>
              <w:t xml:space="preserve">$332,859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222222"/>
              </w:rPr>
              <w:t xml:space="preserve">   Rental income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222222"/>
              </w:rPr>
              <w:t xml:space="preserve">$295,290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222222"/>
              </w:rPr>
              <w:t xml:space="preserve">$72,859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222222"/>
              </w:rPr>
              <w:t xml:space="preserve">   Flip sales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222222"/>
              </w:rPr>
              <w:t xml:space="preserve">$985,000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222222"/>
              </w:rPr>
              <w:t xml:space="preserve">$260,000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222222"/>
              </w:rPr>
              <w:t xml:space="preserve">   Commission income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222222"/>
              </w:rPr>
              <w:t xml:space="preserve">$28,450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222222"/>
              </w:rPr>
              <w:t xml:space="preserve">$0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color w:val="222222"/>
              </w:rPr>
              <w:t xml:space="preserve">Net income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bCs/>
              </w:rPr>
              <w:t xml:space="preserve">$103,961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bCs/>
              </w:rPr>
              <w:t xml:space="preserve">$45,129*</w:t>
            </w:r>
          </w:p>
        </w:tc>
      </w:tr>
    </w:tbl>
    <w:p>
      <w:pPr>
        <w:spacing w:after="120"/>
      </w:pPr>
      <w:r>
        <w:rPr>
          <w:i/>
          <w:iCs/>
          <w:color w:val="555555"/>
          <w:sz w:val="18"/>
          <w:szCs w:val="18"/>
        </w:rPr>
        <w:t xml:space="preserve">*2026 net is overstated — no depreciation/amortization is booked yet (that was ~$32K in 2025 and the CPA posts it at year-end). Both reports are cash basis. The rentals carry the profit; the four 2025 flips netted only ~$26K gross before overhead.</w:t>
      </w:r>
    </w:p>
    <w:p>
      <w:pPr>
        <w:pStyle w:val="Heading1"/>
      </w:pPr>
      <w:r>
        <w:t xml:space="preserve">What the split actually involves</w:t>
      </w:r>
    </w:p>
    <w:p>
      <w:pPr>
        <w:spacing w:after="120"/>
      </w:pPr>
      <w:r>
        <w:t xml:space="preserve">In plain terms, so you can walk them through it:</w:t>
      </w:r>
    </w:p>
    <w:p>
      <w:pPr>
        <w:pStyle w:val="ListParagraph"/>
        <w:numPr>
          <w:ilvl w:val="0"/>
          <w:numId w:val="2"/>
        </w:numPr>
        <w:spacing w:after="60"/>
      </w:pPr>
      <w:r>
        <w:rPr>
          <w:b/>
          <w:bCs/>
        </w:rPr>
        <w:t xml:space="preserve">Create a second QuickBooks company. </w:t>
      </w:r>
      <w:r>
        <w:t xml:space="preserve">One file today holds both entities. The LLC and S-corp each need their own books and their own software subscription.</w:t>
      </w:r>
    </w:p>
    <w:p>
      <w:pPr>
        <w:pStyle w:val="ListParagraph"/>
        <w:numPr>
          <w:ilvl w:val="0"/>
          <w:numId w:val="2"/>
        </w:numPr>
        <w:spacing w:after="60"/>
      </w:pPr>
      <w:r>
        <w:rPr>
          <w:b/>
          <w:bCs/>
        </w:rPr>
        <w:t xml:space="preserve">Re-map ~18 months of history. </w:t>
      </w:r>
      <w:r>
        <w:t xml:space="preserve">Every 2025 and 2026-to-date transaction gets assigned to the correct entity, then to the correct property within that entity. Most map automatically by account/class; the judgment cases get batched into a question list for you.</w:t>
      </w:r>
    </w:p>
    <w:p>
      <w:pPr>
        <w:pStyle w:val="ListParagraph"/>
        <w:numPr>
          <w:ilvl w:val="0"/>
          <w:numId w:val="2"/>
        </w:numPr>
        <w:spacing w:after="60"/>
      </w:pPr>
      <w:r>
        <w:rPr>
          <w:b/>
          <w:bCs/>
        </w:rPr>
        <w:t xml:space="preserve">Clear the “Operating” bucket. </w:t>
      </w:r>
      <w:r>
        <w:t xml:space="preserve">About $105K of shared overhead — interest, the $20K officer salary, depreciation, insurance, dues — currently sits unallocated. Each dollar has to land in the right entity.</w:t>
      </w:r>
    </w:p>
    <w:p>
      <w:pPr>
        <w:pStyle w:val="ListParagraph"/>
        <w:numPr>
          <w:ilvl w:val="0"/>
          <w:numId w:val="2"/>
        </w:numPr>
        <w:spacing w:after="60"/>
      </w:pPr>
      <w:r>
        <w:rPr>
          <w:b/>
          <w:bCs/>
        </w:rPr>
        <w:t xml:space="preserve">Pull personal out of deductions. </w:t>
      </w:r>
      <w:r>
        <w:t xml:space="preserve">Personal spending run through the business gets reclassed to owner distributions, not expenses, so the CPA isn’t deducting Walmart and family insurance.</w:t>
      </w:r>
    </w:p>
    <w:p>
      <w:pPr>
        <w:pStyle w:val="ListParagraph"/>
        <w:numPr>
          <w:ilvl w:val="0"/>
          <w:numId w:val="2"/>
        </w:numPr>
        <w:spacing w:after="60"/>
      </w:pPr>
      <w:r>
        <w:rPr>
          <w:b/>
          <w:bCs/>
        </w:rPr>
        <w:t xml:space="preserve">Coordinate the equity &amp; loan fixes with the CPA. </w:t>
      </w:r>
      <w:r>
        <w:t xml:space="preserve">Opening Balance Equity (~$144K), two wrong-sign loan balances, and the entity-type question are theirs to rule on — we tee them up, they decide.</w:t>
      </w:r>
    </w:p>
    <w:p>
      <w:pPr>
        <w:pStyle w:val="ListParagraph"/>
        <w:numPr>
          <w:ilvl w:val="0"/>
          <w:numId w:val="2"/>
        </w:numPr>
        <w:spacing w:after="60"/>
      </w:pPr>
      <w:r>
        <w:rPr>
          <w:b/>
          <w:bCs/>
        </w:rPr>
        <w:t xml:space="preserve">Deliver clean, CPA-ready 2025 financials for each entity. </w:t>
      </w:r>
      <w:r>
        <w:t xml:space="preserve">Two sets of books, class-split by property, ready to file.</w:t>
      </w:r>
    </w:p>
    <w:p>
      <w:pPr>
        <w:pStyle w:val="Heading2"/>
      </w:pPr>
      <w:r>
        <w:t xml:space="preserve">Proposed timeline</w:t>
      </w:r>
    </w:p>
    <w:p>
      <w:pPr>
        <w:pStyle w:val="ListParagraph"/>
        <w:numPr>
          <w:ilvl w:val="0"/>
          <w:numId w:val="3"/>
        </w:numPr>
        <w:spacing w:after="60"/>
      </w:pPr>
      <w:r>
        <w:rPr>
          <w:b/>
          <w:bCs/>
        </w:rPr>
        <w:t xml:space="preserve">July — </w:t>
      </w:r>
      <w:r>
        <w:t xml:space="preserve">one-time separation &amp; cleanup. Goal: both entities CPA-ready by July 31.</w:t>
      </w:r>
    </w:p>
    <w:p>
      <w:pPr>
        <w:pStyle w:val="ListParagraph"/>
        <w:numPr>
          <w:ilvl w:val="0"/>
          <w:numId w:val="3"/>
        </w:numPr>
        <w:spacing w:after="60"/>
      </w:pPr>
      <w:r>
        <w:rPr>
          <w:b/>
          <w:bCs/>
        </w:rPr>
        <w:t xml:space="preserve">August 1 — </w:t>
      </w:r>
      <w:r>
        <w:t xml:space="preserve">ongoing monthly bookkeeping begins on the clean books.</w:t>
      </w:r>
    </w:p>
    <w:p>
      <w:pPr>
        <w:pStyle w:val="ListParagraph"/>
        <w:numPr>
          <w:ilvl w:val="0"/>
          <w:numId w:val="3"/>
        </w:numPr>
        <w:spacing w:after="60"/>
      </w:pPr>
      <w:r>
        <w:rPr>
          <w:b/>
          <w:bCs/>
        </w:rPr>
        <w:t xml:space="preserve">Throughout — </w:t>
      </w:r>
      <w:r>
        <w:t xml:space="preserve">we coordinate directly with Elliott Davis / Judd Tax so they get exactly what they need for the 2025 returns.</w:t>
      </w:r>
    </w:p>
    <w:p>
      <w:pPr>
        <w:pStyle w:val="Heading1"/>
      </w:pPr>
      <w:r>
        <w:t xml:space="preserve">Questions to confirm — for Cale &amp; Raegen</w:t>
      </w:r>
    </w:p>
    <w:p>
      <w:pPr>
        <w:pStyle w:val="ListParagraph"/>
        <w:numPr>
          <w:ilvl w:val="0"/>
          <w:numId w:val="4"/>
        </w:numPr>
        <w:spacing w:after="60"/>
      </w:pPr>
      <w:r>
        <w:rPr>
          <w:b/>
          <w:bCs/>
        </w:rPr>
        <w:t xml:space="preserve">Why now? </w:t>
      </w:r>
      <w:r>
        <w:t xml:space="preserve">What’s pushing you to hand off bookkeeping at this point — what’s working and what isn’t? (Find the real reason.)</w:t>
      </w:r>
    </w:p>
    <w:p>
      <w:pPr>
        <w:pStyle w:val="ListParagraph"/>
        <w:numPr>
          <w:ilvl w:val="0"/>
          <w:numId w:val="4"/>
        </w:numPr>
        <w:spacing w:after="60"/>
      </w:pPr>
      <w:r>
        <w:rPr>
          <w:b/>
          <w:bCs/>
        </w:rPr>
        <w:t xml:space="preserve">Scope: </w:t>
      </w:r>
      <w:r>
        <w:t xml:space="preserve">Day-to-day bookkeeping while Elliott Davis stays on for tax — is that the picture, or do you want more?</w:t>
      </w:r>
    </w:p>
    <w:p>
      <w:pPr>
        <w:pStyle w:val="ListParagraph"/>
        <w:numPr>
          <w:ilvl w:val="0"/>
          <w:numId w:val="4"/>
        </w:numPr>
        <w:spacing w:after="60"/>
      </w:pPr>
      <w:r>
        <w:rPr>
          <w:b/>
          <w:bCs/>
        </w:rPr>
        <w:t xml:space="preserve">Entities: </w:t>
      </w:r>
      <w:r>
        <w:t xml:space="preserve">Confirm the two legal entities, their exact names, and which one is the S-corp vs the LLC. Do you have the EIN for each?</w:t>
      </w:r>
    </w:p>
    <w:p>
      <w:pPr>
        <w:pStyle w:val="ListParagraph"/>
        <w:numPr>
          <w:ilvl w:val="0"/>
          <w:numId w:val="4"/>
        </w:numPr>
        <w:spacing w:after="60"/>
      </w:pPr>
      <w:r>
        <w:rPr>
          <w:b/>
          <w:bCs/>
        </w:rPr>
        <w:t xml:space="preserve">Bank/credit accounts: </w:t>
      </w:r>
      <w:r>
        <w:t xml:space="preserve">How many accounts per entity — and are any shared between the two? (A shared account is the single biggest complication for the split; I need to know now.)</w:t>
      </w:r>
    </w:p>
    <w:p>
      <w:pPr>
        <w:pStyle w:val="ListParagraph"/>
        <w:numPr>
          <w:ilvl w:val="0"/>
          <w:numId w:val="4"/>
        </w:numPr>
        <w:spacing w:after="60"/>
      </w:pPr>
      <w:r>
        <w:rPr>
          <w:b/>
          <w:bCs/>
        </w:rPr>
        <w:t xml:space="preserve">Personal spending: </w:t>
      </w:r>
      <w:r>
        <w:t xml:space="preserve">Will you keep running personal through the business, or move to separate cards? (This sizes the ongoing monthly work.)</w:t>
      </w:r>
    </w:p>
    <w:p>
      <w:pPr>
        <w:pStyle w:val="ListParagraph"/>
        <w:numPr>
          <w:ilvl w:val="0"/>
          <w:numId w:val="4"/>
        </w:numPr>
        <w:spacing w:after="60"/>
      </w:pPr>
      <w:r>
        <w:rPr>
          <w:b/>
          <w:bCs/>
        </w:rPr>
        <w:t xml:space="preserve">Current cost: </w:t>
      </w:r>
      <w:r>
        <w:t xml:space="preserve">What are you paying Elliott Davis now, and roughly how much is bookkeeping vs tax? (Sharpens the value comparison — it’s not in the QBO data, so I have to ask.)</w:t>
      </w:r>
    </w:p>
    <w:p>
      <w:pPr>
        <w:pStyle w:val="ListParagraph"/>
        <w:numPr>
          <w:ilvl w:val="0"/>
          <w:numId w:val="4"/>
        </w:numPr>
        <w:spacing w:after="60"/>
      </w:pPr>
      <w:r>
        <w:rPr>
          <w:b/>
          <w:bCs/>
        </w:rPr>
        <w:t xml:space="preserve">Volume: </w:t>
      </w:r>
      <w:r>
        <w:t xml:space="preserve">Is transaction volume steady or growing? What’s your flip pace this year? (Each flip adds a burst of work.)</w:t>
      </w:r>
    </w:p>
    <w:p>
      <w:pPr>
        <w:pStyle w:val="Heading1"/>
      </w:pPr>
      <w:r>
        <w:t xml:space="preserve">Questions to confirm — for Elliott Davis / Judd Tax</w:t>
      </w:r>
    </w:p>
    <w:p>
      <w:pPr>
        <w:pStyle w:val="ListParagraph"/>
        <w:numPr>
          <w:ilvl w:val="0"/>
          <w:numId w:val="5"/>
        </w:numPr>
        <w:spacing w:after="60"/>
      </w:pPr>
      <w:r>
        <w:rPr>
          <w:b/>
          <w:bCs/>
        </w:rPr>
        <w:t xml:space="preserve">Entity type: </w:t>
      </w:r>
      <w:r>
        <w:t xml:space="preserve">Confirm S-corp vs partnership/LLC for each. The current file mixes “Officer Salaries” (S-corp) and “Partner’s Equity” (partnership) language — which belongs to which entity?</w:t>
      </w:r>
    </w:p>
    <w:p>
      <w:pPr>
        <w:pStyle w:val="ListParagraph"/>
        <w:numPr>
          <w:ilvl w:val="0"/>
          <w:numId w:val="5"/>
        </w:numPr>
        <w:spacing w:after="60"/>
      </w:pPr>
      <w:r>
        <w:rPr>
          <w:b/>
          <w:bCs/>
        </w:rPr>
        <w:t xml:space="preserve">Structure: </w:t>
      </w:r>
      <w:r>
        <w:t xml:space="preserve">Two truly separate company files (my assumption), or do you want one file with class tracking? This decides the whole setup.</w:t>
      </w:r>
    </w:p>
    <w:p>
      <w:pPr>
        <w:pStyle w:val="ListParagraph"/>
        <w:numPr>
          <w:ilvl w:val="0"/>
          <w:numId w:val="5"/>
        </w:numPr>
        <w:spacing w:after="60"/>
      </w:pPr>
      <w:r>
        <w:rPr>
          <w:b/>
          <w:bCs/>
        </w:rPr>
        <w:t xml:space="preserve">Class mapping: </w:t>
      </w:r>
      <w:r>
        <w:t xml:space="preserve">Confirm “Second Mile” = the S-corp / flip entity and “Rental Home Co” = the LLC / rental entity, and that each property is assigned to the right one.</w:t>
      </w:r>
    </w:p>
    <w:p>
      <w:pPr>
        <w:pStyle w:val="ListParagraph"/>
        <w:numPr>
          <w:ilvl w:val="0"/>
          <w:numId w:val="5"/>
        </w:numPr>
        <w:spacing w:after="60"/>
      </w:pPr>
      <w:r>
        <w:rPr>
          <w:b/>
          <w:bCs/>
        </w:rPr>
        <w:t xml:space="preserve">Commission income ($28,450): </w:t>
      </w:r>
      <w:r>
        <w:t xml:space="preserve">Own class in the S-corp, folded into flips, or reported on Raegen’s personal return as the licensed agent?</w:t>
      </w:r>
    </w:p>
    <w:p>
      <w:pPr>
        <w:pStyle w:val="ListParagraph"/>
        <w:numPr>
          <w:ilvl w:val="0"/>
          <w:numId w:val="5"/>
        </w:numPr>
        <w:spacing w:after="60"/>
      </w:pPr>
      <w:r>
        <w:rPr>
          <w:b/>
          <w:bCs/>
        </w:rPr>
        <w:t xml:space="preserve">Equity/loan items: </w:t>
      </w:r>
      <w:r>
        <w:t xml:space="preserve">Opening Balance Equity (~$144K) zero-out, the two wrong-sign loan balances (Church St, Woodsong/CARO) — how do you want these handled?</w:t>
      </w:r>
    </w:p>
    <w:p>
      <w:pPr>
        <w:pStyle w:val="ListParagraph"/>
        <w:numPr>
          <w:ilvl w:val="0"/>
          <w:numId w:val="5"/>
        </w:numPr>
        <w:spacing w:after="60"/>
      </w:pPr>
      <w:r>
        <w:rPr>
          <w:b/>
          <w:bCs/>
        </w:rPr>
        <w:t xml:space="preserve">Deliverable &amp; deadline: </w:t>
      </w:r>
      <w:r>
        <w:t xml:space="preserve">What exactly do you need from us for the 2025 returns, in what format, and by when? (Assuming returns are on extension.)</w:t>
      </w:r>
    </w:p>
    <w:p>
      <w:pPr>
        <w:pStyle w:val="Heading1"/>
        <w:pageBreakBefore/>
      </w:pPr>
      <w:r>
        <w:t xml:space="preserve">Property checklist — verify with the owners</w:t>
      </w:r>
    </w:p>
    <w:p>
      <w:pPr>
        <w:spacing w:after="120"/>
      </w:pPr>
      <w:r>
        <w:t xml:space="preserve">Two things to confirm per property: which </w:t>
      </w:r>
      <w:r>
        <w:rPr>
          <w:b/>
          <w:bCs/>
        </w:rPr>
        <w:t xml:space="preserve">entity</w:t>
      </w:r>
      <w:r>
        <w:t xml:space="preserve"> owns it, and whether it’s a </w:t>
      </w:r>
      <w:r>
        <w:rPr>
          <w:b/>
          <w:bCs/>
        </w:rPr>
        <w:t xml:space="preserve">rental</w:t>
      </w:r>
      <w:r>
        <w:t xml:space="preserve"> (held long-term) or a </w:t>
      </w:r>
      <w:r>
        <w:rPr>
          <w:b/>
          <w:bCs/>
        </w:rPr>
        <w:t xml:space="preserve">flip</w:t>
      </w:r>
      <w:r>
        <w:t xml:space="preserve"> (sold or held for sale). My read is from the actual income data — flips show sale/commission income, rentals show recurring 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2160"/>
        <w:gridCol w:w="1440"/>
      </w:tblGrid>
      <w:tr>
        <w:tc>
          <w:tcPr>
            <w:tcW w:type="dxa" w:w="3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rPr>
              <w:t xml:space="preserve">Property</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rPr>
              <w:t xml:space="preserve">Current entity class</w:t>
            </w:r>
          </w:p>
        </w:tc>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rPr>
              <w:t xml:space="preserve">My read</w:t>
            </w:r>
          </w:p>
        </w:tc>
        <w:tc>
          <w:tcPr>
            <w:tcW w:type="dxa" w:w="14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rPr>
              <w:t xml:space="preserve">Confirm ✔</w:t>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4608 Woodsong Ln</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Rental Home Co</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Church Street Duplexes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Rental Home Co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100 Crown Colony Ct</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101 Century Hill 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104 Penny Lane</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115 Elm Street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120 Argus Circle</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191 Konika Court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216 Stirlington Rd</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300 Elders Pond Circle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359 Quiet Grove Drive</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511 Plum Tree 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946 Brookfield Drive</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Rental</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105 Peach Blossom 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222222"/>
              </w:rPr>
              <w:t xml:space="preserve">Flip — sold 2025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511 Kyzer Rd</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bCs/>
                <w:color w:val="222222"/>
              </w:rPr>
              <w:t xml:space="preserve">Flip — sold 2025</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661 Spanish Oak Dr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222222"/>
              </w:rPr>
              <w:t xml:space="preserve">Flip — sold 2025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7360 Two Notch Rd</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bCs/>
                <w:color w:val="222222"/>
              </w:rPr>
              <w:t xml:space="preserve">Flip — sold 2025</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139 E Chateu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222222"/>
              </w:rPr>
              <w:t xml:space="preserve">Flip — sold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133 Armanda</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bCs/>
                <w:color w:val="222222"/>
              </w:rPr>
              <w:t xml:space="preserve">Flip in progress ?</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233 Lecia Lane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222222"/>
              </w:rPr>
              <w:t xml:space="preserve">Flip in progress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222222"/>
              </w:rPr>
              <w:t xml:space="preserve"/>
            </w:r>
          </w:p>
        </w:tc>
      </w:tr>
      <w:tr>
        <w:tc>
          <w:tcPr>
            <w:tcW w:type="dxa" w:w="33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522 Long Terrace</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Second Mile</w:t>
            </w:r>
          </w:p>
        </w:tc>
        <w:tc>
          <w:tcPr>
            <w:tcW w:type="dxa" w:w="21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bCs/>
                <w:color w:val="B03A2E"/>
              </w:rPr>
              <w:t xml:space="preserve">VERIFY — commission only ?</w:t>
            </w:r>
          </w:p>
        </w:tc>
        <w:tc>
          <w:tcPr>
            <w:tcW w:type="dxa" w:w="144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rPr>
                <w:b w:val="false"/>
                <w:bCs w:val="false"/>
                <w:color w:val="222222"/>
              </w:rPr>
              <w:t xml:space="preserve"/>
            </w:r>
          </w:p>
        </w:tc>
      </w:tr>
    </w:tbl>
    <w:p>
      <w:pPr>
        <w:spacing w:after="120"/>
      </w:pPr>
      <w:r>
        <w:rPr>
          <w:i/>
          <w:iCs/>
          <w:color w:val="555555"/>
          <w:sz w:val="18"/>
          <w:szCs w:val="18"/>
        </w:rPr>
        <w:t xml:space="preserve">Also assign the non-property classes: Ford Expedition (with the entity that owns the vehicle), Operating (shared overhead — allocate), Personal (→ owner distributions), and Trading / Not specified (tiny, unclassed — ask what they were).</w:t>
      </w:r>
    </w:p>
    <w:p>
      <w:pPr>
        <w:spacing w:after="120"/>
      </w:pPr>
      <w:r>
        <w:rPr>
          <w:b/>
          <w:bCs/>
        </w:rPr>
        <w:t xml:space="preserve">Flag for the CPA: </w:t>
      </w:r>
      <w:r>
        <w:t xml:space="preserve">“Second Mile” currently holds 11 long-term rentals AND 7 flips. If Second Mile is the S-corp, confirm whether those rentals should stay there or move to the LLC — holding long-term rental real estate in an S-corp can create tax problems.</w:t>
      </w:r>
    </w:p>
    <w:p>
      <w:pPr>
        <w:pStyle w:val="Heading1"/>
      </w:pPr>
      <w:r>
        <w:t xml:space="preserve">Documents to collect (to set the 1/1/2025 starting point)</w:t>
      </w:r>
    </w:p>
    <w:p>
      <w:pPr>
        <w:pStyle w:val="ListParagraph"/>
        <w:numPr>
          <w:ilvl w:val="0"/>
          <w:numId w:val="3"/>
        </w:numPr>
        <w:spacing w:after="60"/>
      </w:pPr>
      <w:r>
        <w:rPr>
          <w:b/>
          <w:bCs/>
        </w:rPr>
        <w:t xml:space="preserve">Filed 2024 tax returns </w:t>
      </w:r>
      <w:r>
        <w:t xml:space="preserve">for each entity (the CPA’s — this is the authority on year-end balances).</w:t>
      </w:r>
    </w:p>
    <w:p>
      <w:pPr>
        <w:pStyle w:val="ListParagraph"/>
        <w:numPr>
          <w:ilvl w:val="0"/>
          <w:numId w:val="3"/>
        </w:numPr>
        <w:spacing w:after="60"/>
      </w:pPr>
      <w:r>
        <w:rPr>
          <w:b/>
          <w:bCs/>
        </w:rPr>
        <w:t xml:space="preserve">QBO Balance Sheet as of 12/31/2024 </w:t>
      </w:r>
      <w:r>
        <w:t xml:space="preserve">(both cash and accrual).</w:t>
      </w:r>
    </w:p>
    <w:p>
      <w:pPr>
        <w:pStyle w:val="ListParagraph"/>
        <w:numPr>
          <w:ilvl w:val="0"/>
          <w:numId w:val="3"/>
        </w:numPr>
        <w:spacing w:after="60"/>
      </w:pPr>
      <w:r>
        <w:rPr>
          <w:b/>
          <w:bCs/>
        </w:rPr>
        <w:t xml:space="preserve">Trial balance as of 12/31/2024.</w:t>
      </w:r>
    </w:p>
    <w:p>
      <w:pPr>
        <w:pStyle w:val="ListParagraph"/>
        <w:numPr>
          <w:ilvl w:val="0"/>
          <w:numId w:val="3"/>
        </w:numPr>
        <w:spacing w:after="60"/>
      </w:pPr>
      <w:r>
        <w:rPr>
          <w:b/>
          <w:bCs/>
        </w:rPr>
        <w:t xml:space="preserve">The CPA’s 2024 closing / adjusting journal entries </w:t>
      </w:r>
      <w:r>
        <w:t xml:space="preserve">(depreciation, amortization, loan true-ups) so opening balances match the filed return.</w:t>
      </w:r>
    </w:p>
    <w:p>
      <w:pPr>
        <w:pStyle w:val="ListParagraph"/>
        <w:numPr>
          <w:ilvl w:val="0"/>
          <w:numId w:val="3"/>
        </w:numPr>
        <w:spacing w:after="60"/>
      </w:pPr>
      <w:r>
        <w:rPr>
          <w:b/>
          <w:bCs/>
        </w:rPr>
        <w:t xml:space="preserve">A General Ledger run on “All Dates” </w:t>
      </w:r>
      <w:r>
        <w:t xml:space="preserve">to confirm how far back the file goes and whether pre-2025 activity matters.</w:t>
      </w:r>
    </w:p>
    <w:p>
      <w:pPr>
        <w:pStyle w:val="ListParagraph"/>
        <w:numPr>
          <w:ilvl w:val="0"/>
          <w:numId w:val="3"/>
        </w:numPr>
        <w:spacing w:after="60"/>
      </w:pPr>
      <w:r>
        <w:rPr>
          <w:b/>
          <w:bCs/>
        </w:rPr>
        <w:t xml:space="preserve">Ask the CPA the key one: </w:t>
      </w:r>
      <w:r>
        <w:t xml:space="preserve">“How did you produce two separate 2024 returns from this one file?” — that method is the playbook for splitting 2025.</w:t>
      </w:r>
    </w:p>
    <w:p>
      <w:pPr>
        <w:pStyle w:val="Heading1"/>
      </w:pPr>
      <w:r>
        <w:t xml:space="preserve">The quote</w:t>
      </w:r>
    </w:p>
    <w:p>
      <w:pPr>
        <w:pStyle w:val="Heading2"/>
      </w:pPr>
      <w:r>
        <w:t xml:space="preserve">Part 1 — One-time: Entity Separation &amp; 2025 Tax-Readiness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rPr>
              <w:t xml:space="preserve">Scope (complete by July 31)</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right"/>
            </w:pPr>
            <w:r>
              <w:rPr>
                <w:b/>
                <w:bCs/>
                <w:color w:val="FFFFFF"/>
              </w:rPr>
              <w:t xml:space="preserve">Price</w:t>
            </w:r>
          </w:p>
        </w:tc>
      </w:tr>
      <w:tr>
        <w:tc>
          <w:tcPr>
            <w:tcW w:type="dxa" w:w="696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left"/>
            </w:pPr>
            <w:r>
              <w:t xml:space="preserve">Split the commingled file into two QuickBooks companies; re-map ~18 months (2025 + 2026 YTD) to the correct entity and property class; clear the Operating overhead bucket; reclass personal to distributions; coordinate equity/loan fixes with the CPA; deliver CPA-ready 2025 financials for each entity.</w:t>
            </w:r>
          </w:p>
        </w:tc>
        <w:tc>
          <w:tcPr>
            <w:tcW w:type="dxa" w:w="2400"/>
            <w:tcBorders>
              <w:top w:val="single" w:color="CCCCCC" w:sz="1"/>
              <w:left w:val="single" w:color="CCCCCC" w:sz="1"/>
              <w:bottom w:val="single" w:color="CCCCCC" w:sz="1"/>
              <w:right w:val="single" w:color="CCCCCC" w:sz="1"/>
            </w:tcBorders>
            <w:shd w:fill="EAF2F2" w:val="clear"/>
            <w:tcMar>
              <w:top w:type="dxa" w:w="80"/>
              <w:left w:type="dxa" w:w="120"/>
              <w:bottom w:type="dxa" w:w="80"/>
              <w:right w:type="dxa" w:w="120"/>
            </w:tcMar>
          </w:tcPr>
          <w:p>
            <w:pPr>
              <w:jc w:val="right"/>
            </w:pPr>
            <w:r>
              <w:rPr>
                <w:b/>
                <w:bCs/>
                <w:color w:val="1F3A5F"/>
                <w:sz w:val="28"/>
                <w:szCs w:val="28"/>
              </w:rPr>
              <w:t xml:space="preserve">$2,500</w:t>
            </w:r>
          </w:p>
        </w:tc>
      </w:tr>
    </w:tbl>
    <w:p>
      <w:pPr>
        <w:spacing w:after="120"/>
      </w:pPr>
      <w:r>
        <w:rPr>
          <w:i/>
          <w:iCs/>
          <w:color w:val="555555"/>
          <w:sz w:val="18"/>
          <w:szCs w:val="18"/>
        </w:rPr>
        <w:t xml:space="preserve">Flat, quoted upfront, no hourly billing — assuming each entity has its own bank/credit accounts. If the two entities share accounts, that adds manual reclass work and I’ll confirm revised scope before proceeding. For context: this is a full 18-month rebuild across two brand-new company files (opening balances, transaction import, categorization, and reconciliation from scratch) — realistically 25–35 hours. At your published Scale catch-up rate ($495/month-behind), 18 months would price far higher; $2,500 flat is the friendly number for a current-books client. Optional close lever: hold at $2,250 if they commit to annual monthly billing.</w:t>
      </w:r>
    </w:p>
    <w:p>
      <w:pPr>
        <w:pStyle w:val="Heading2"/>
      </w:pPr>
      <w:r>
        <w:t xml:space="preserve">Part 2 — Ongoing monthly (begins August 1, on the clean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600"/>
        <w:gridCol w:w="2400"/>
      </w:tblGrid>
      <w:tr>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rPr>
              <w:t xml:space="preserve">Entity</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rPr>
              <w:t xml:space="preserve">Plan</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right"/>
            </w:pPr>
            <w:r>
              <w:rPr>
                <w:b/>
                <w:bCs/>
                <w:color w:val="FFFFFF"/>
              </w:rPr>
              <w:t xml:space="preserve">Monthly</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Second Mile (S-corp)</w:t>
            </w:r>
            <w:r>
              <w:rPr>
                <w:color w:val="555555"/>
                <w:sz w:val="18"/>
                <w:szCs w:val="18"/>
              </w:rPr>
              <w:t xml:space="preserve"> — flips, commission, payroll, highest volume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222222"/>
              </w:rPr>
              <w:t xml:space="preserve">Scale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222222"/>
              </w:rPr>
              <w:t xml:space="preserve">$895</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Rental Home Co (LLC)</w:t>
            </w:r>
            <w:r>
              <w:rPr>
                <w:color w:val="555555"/>
                <w:sz w:val="18"/>
                <w:szCs w:val="18"/>
              </w:rPr>
              <w:t xml:space="preserve"> — 2 buy-and-hold properties, low volume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222222"/>
              </w:rPr>
              <w:t xml:space="preserve">Starter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222222"/>
              </w:rPr>
              <w:t xml:space="preserve">$299</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rPr>
              <w:t xml:space="preserve">Combined monthly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222222"/>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bCs/>
                <w:color w:val="1F3A5F"/>
                <w:sz w:val="26"/>
                <w:szCs w:val="26"/>
              </w:rPr>
              <w:t xml:space="preserve">$1,194 / mo</w:t>
            </w:r>
          </w:p>
        </w:tc>
      </w:tr>
    </w:tbl>
    <w:p>
      <w:pPr>
        <w:spacing w:after="120"/>
      </w:pPr>
      <w:r>
        <w:t xml:space="preserve">Each plan includes weekly bookkeeping, reconciliation, monthly P&amp;L and balance sheet, the client portal, software subscription, and direct coordination with the CPA. No setup fee. Cancel anytime.</w:t>
      </w:r>
    </w:p>
    <w:p>
      <w:pPr>
        <w:pStyle w:val="ListParagraph"/>
        <w:numPr>
          <w:ilvl w:val="0"/>
          <w:numId w:val="3"/>
        </w:numPr>
        <w:spacing w:after="60"/>
      </w:pPr>
      <w:r>
        <w:rPr>
          <w:b/>
          <w:bCs/>
        </w:rPr>
        <w:t xml:space="preserve">Account-count check: </w:t>
      </w:r>
      <w:r>
        <w:t xml:space="preserve">Starter covers up to 2 accounts. If the LLC has more than 2 bank/credit accounts, it moves to Essential ($395). Confirm on the call.</w:t>
      </w:r>
    </w:p>
    <w:p>
      <w:pPr>
        <w:pStyle w:val="ListParagraph"/>
        <w:numPr>
          <w:ilvl w:val="0"/>
          <w:numId w:val="3"/>
        </w:numPr>
        <w:spacing w:after="60"/>
      </w:pPr>
      <w:r>
        <w:rPr>
          <w:b/>
          <w:bCs/>
        </w:rPr>
        <w:t xml:space="preserve">Friction-reducer (optional): </w:t>
      </w:r>
      <w:r>
        <w:t xml:space="preserve">offer a flat $1,095/mo bundle for both books if you’d rather present one round number.</w:t>
      </w:r>
    </w:p>
    <w:p>
      <w:pPr>
        <w:pStyle w:val="ListParagraph"/>
        <w:numPr>
          <w:ilvl w:val="0"/>
          <w:numId w:val="3"/>
        </w:numPr>
        <w:spacing w:after="60"/>
      </w:pPr>
      <w:r>
        <w:rPr>
          <w:b/>
          <w:bCs/>
        </w:rPr>
        <w:t xml:space="preserve">Annual option: </w:t>
      </w:r>
      <w:r>
        <w:t xml:space="preserve">billed annually, one month free (your standard annual term).</w:t>
      </w:r>
    </w:p>
    <w:p>
      <w:pPr>
        <w:pStyle w:val="Heading1"/>
      </w:pPr>
      <w:r>
        <w:t xml:space="preserve">How to position it</w:t>
      </w:r>
    </w:p>
    <w:p>
      <w:pPr>
        <w:spacing w:after="120"/>
      </w:pPr>
      <w:r>
        <w:rPr>
          <w:b/>
          <w:bCs/>
        </w:rPr>
        <w:t xml:space="preserve">Open with praise (verified, safe to say): </w:t>
      </w:r>
      <w:r>
        <w:t xml:space="preserve">“Your books are in better shape than most I see. Your chart of accounts and your property-sale entries are clean — building and land split out, basis removed correctly, commissions and closing costs captured. That’s the part people usually get wrong, and yours is right.”</w:t>
      </w:r>
    </w:p>
    <w:p>
      <w:pPr>
        <w:spacing w:after="120"/>
      </w:pPr>
      <w:r>
        <w:rPr>
          <w:b/>
          <w:bCs/>
        </w:rPr>
        <w:t xml:space="preserve">Then reframe the real issue: </w:t>
      </w:r>
      <w:r>
        <w:t xml:space="preserve">“The one thing that needs sorting is that two separate businesses — your S-corp and your LLC — are living in one QuickBooks file. That works fine day to day, but you can’t file two tax returns out of one set of books. So before tax time we split them cleanly, get each one ready for your accountant, then keep them clean going forward.”</w:t>
      </w:r>
    </w:p>
    <w:p>
      <w:pPr>
        <w:spacing w:after="120"/>
      </w:pPr>
      <w:r>
        <w:rPr>
          <w:b/>
          <w:bCs/>
        </w:rPr>
        <w:t xml:space="preserve">Then the offer: </w:t>
      </w:r>
      <w:r>
        <w:t xml:space="preserve">“Two parts. A one-time $2,500 in July to separate the two businesses into their own books and hand your accountant clean, filing-ready financials for both. Then starting in August, ongoing monthly at $895 for the active S-corp side and $299 for the rental LLC — weekly bookkeeping, reconciliation, monthly reports, and I coordinate directly with your accountant. No setup fee, cancel anytime.”</w:t>
      </w:r>
    </w:p>
    <w:p>
      <w:pPr>
        <w:pStyle w:val="Heading2"/>
      </w:pPr>
      <w:r>
        <w:t xml:space="preserve">Do not</w:t>
      </w:r>
    </w:p>
    <w:p>
      <w:pPr>
        <w:pStyle w:val="ListParagraph"/>
        <w:numPr>
          <w:ilvl w:val="0"/>
          <w:numId w:val="3"/>
        </w:numPr>
        <w:spacing w:after="60"/>
      </w:pPr>
      <w:r>
        <w:t xml:space="preserve">Name Elliott Davis before they do — that came from the audit log, not from them.</w:t>
      </w:r>
    </w:p>
    <w:p>
      <w:pPr>
        <w:pStyle w:val="ListParagraph"/>
        <w:numPr>
          <w:ilvl w:val="0"/>
          <w:numId w:val="3"/>
        </w:numPr>
        <w:spacing w:after="60"/>
      </w:pPr>
      <w:r>
        <w:t xml:space="preserve">Promise the books are “correct/accurate” beyond structure and sale entries — you haven’t verified reconciliation-level accuracy independently.</w:t>
      </w:r>
    </w:p>
    <w:p>
      <w:pPr>
        <w:pStyle w:val="ListParagraph"/>
        <w:numPr>
          <w:ilvl w:val="0"/>
          <w:numId w:val="3"/>
        </w:numPr>
        <w:spacing w:after="60"/>
      </w:pPr>
      <w:r>
        <w:t xml:space="preserve">Quote profitability or savings from memory — confirm what they pay the CPA, and pull a fresh P&amp;L per entity once split.</w:t>
      </w:r>
    </w:p>
    <w:p>
      <w:pPr>
        <w:pStyle w:val="ListParagraph"/>
        <w:numPr>
          <w:ilvl w:val="0"/>
          <w:numId w:val="3"/>
        </w:numPr>
        <w:spacing w:after="60"/>
      </w:pPr>
      <w:r>
        <w:t xml:space="preserve">Lock the monthly price until the account count and which-entity-is-which are confirmed.</w:t>
      </w:r>
    </w:p>
    <w:p>
      <w:pPr>
        <w:pStyle w:val="Heading1"/>
        <w:pageBreakBefore/>
      </w:pPr>
      <w:r>
        <w:t xml:space="preserve">Appendix — how the file split will work (internal)</w:t>
      </w:r>
    </w:p>
    <w:p>
      <w:pPr>
        <w:spacing w:after="120"/>
      </w:pPr>
      <w:r>
        <w:t xml:space="preserve">QuickBooks rule: one company file = one legal entity = one subscription. Classes can’t produce two tax returns, so two entities need two company files.</w:t>
      </w:r>
    </w:p>
    <w:p>
      <w:pPr>
        <w:pStyle w:val="Heading2"/>
      </w:pPr>
      <w:r>
        <w:t xml:space="preserve">The plan: keep one, build one, archive the history</w:t>
      </w:r>
    </w:p>
    <w:p>
      <w:pPr>
        <w:pStyle w:val="ListParagraph"/>
        <w:numPr>
          <w:ilvl w:val="0"/>
          <w:numId w:val="6"/>
        </w:numPr>
        <w:spacing w:after="60"/>
      </w:pPr>
      <w:r>
        <w:rPr>
          <w:b/>
          <w:bCs/>
        </w:rPr>
        <w:t xml:space="preserve">Keep the current file for the bigger entity. </w:t>
      </w:r>
      <w:r>
        <w:t xml:space="preserve">Rename the existing QBO company to Second Mile (it holds most properties, history, and reconciliations — rebuilding it from scratch would be wasteful).</w:t>
      </w:r>
    </w:p>
    <w:p>
      <w:pPr>
        <w:pStyle w:val="ListParagraph"/>
        <w:numPr>
          <w:ilvl w:val="0"/>
          <w:numId w:val="6"/>
        </w:numPr>
        <w:spacing w:after="60"/>
      </w:pPr>
      <w:r>
        <w:rPr>
          <w:b/>
          <w:bCs/>
        </w:rPr>
        <w:t xml:space="preserve">Lock the filed year. </w:t>
      </w:r>
      <w:r>
        <w:t xml:space="preserve">Set a closing date of 12/31/2024 in the current file so filed 2024 numbers can’t shift.</w:t>
      </w:r>
    </w:p>
    <w:p>
      <w:pPr>
        <w:pStyle w:val="ListParagraph"/>
        <w:numPr>
          <w:ilvl w:val="0"/>
          <w:numId w:val="6"/>
        </w:numPr>
        <w:spacing w:after="60"/>
      </w:pPr>
      <w:r>
        <w:rPr>
          <w:b/>
          <w:bCs/>
        </w:rPr>
        <w:t xml:space="preserve">Create a brand-new company for the LLC. </w:t>
      </w:r>
      <w:r>
        <w:t xml:space="preserve">Rental Home Co is only 2 rental properties — fast to stand up fresh.</w:t>
      </w:r>
    </w:p>
    <w:p>
      <w:pPr>
        <w:pStyle w:val="ListParagraph"/>
        <w:numPr>
          <w:ilvl w:val="0"/>
          <w:numId w:val="6"/>
        </w:numPr>
        <w:spacing w:after="60"/>
      </w:pPr>
      <w:r>
        <w:rPr>
          <w:b/>
          <w:bCs/>
        </w:rPr>
        <w:t xml:space="preserve">Enter 1/1/2025 opening balances in the new file </w:t>
      </w:r>
      <w:r>
        <w:t xml:space="preserve">from the CPA’s 12/31/2024 balance sheet for that entity (bank, loans, fixed assets, accumulated depreciation, equity).</w:t>
      </w:r>
    </w:p>
    <w:p>
      <w:pPr>
        <w:pStyle w:val="ListParagraph"/>
        <w:numPr>
          <w:ilvl w:val="0"/>
          <w:numId w:val="6"/>
        </w:numPr>
        <w:spacing w:after="60"/>
      </w:pPr>
      <w:r>
        <w:rPr>
          <w:b/>
          <w:bCs/>
        </w:rPr>
        <w:t xml:space="preserve">Move the LLC’s 2025+ activity out of the old file and into the new one, </w:t>
      </w:r>
      <w:r>
        <w:t xml:space="preserve">then reconcile each file from its 1/1/2025 opening balance forward.</w:t>
      </w:r>
    </w:p>
    <w:p>
      <w:pPr>
        <w:pStyle w:val="ListParagraph"/>
        <w:numPr>
          <w:ilvl w:val="0"/>
          <w:numId w:val="6"/>
        </w:numPr>
        <w:spacing w:after="60"/>
      </w:pPr>
      <w:r>
        <w:rPr>
          <w:b/>
          <w:bCs/>
        </w:rPr>
        <w:t xml:space="preserve">Archive the old commingled history. </w:t>
      </w:r>
      <w:r>
        <w:t xml:space="preserve">Export All-Dates GL, P&amp;L, balance sheet, and trial balance to PDF/Excel and keep a backup; QBO only retains a cancelled file read-only for ~1 year.</w:t>
      </w:r>
    </w:p>
    <w:p>
      <w:pPr>
        <w:pStyle w:val="Heading2"/>
      </w:pPr>
      <w:r>
        <w:t xml:space="preserve">What you can and can’t bring into the new file</w:t>
      </w:r>
    </w:p>
    <w:p>
      <w:pPr>
        <w:pStyle w:val="ListParagraph"/>
        <w:numPr>
          <w:ilvl w:val="0"/>
          <w:numId w:val="3"/>
        </w:numPr>
        <w:spacing w:after="60"/>
      </w:pPr>
      <w:r>
        <w:rPr>
          <w:b/>
          <w:bCs/>
        </w:rPr>
        <w:t xml:space="preserve">Yes, natively: </w:t>
      </w:r>
      <w:r>
        <w:t xml:space="preserve">bank and credit-card transactions — via live bank feed (typically back ~90 days to 24 months) or CSV import from statements for older months. This gives you the money in/out lines.</w:t>
      </w:r>
    </w:p>
    <w:p>
      <w:pPr>
        <w:pStyle w:val="ListParagraph"/>
        <w:numPr>
          <w:ilvl w:val="0"/>
          <w:numId w:val="3"/>
        </w:numPr>
        <w:spacing w:after="60"/>
      </w:pPr>
      <w:r>
        <w:rPr>
          <w:b/>
          <w:bCs/>
        </w:rPr>
        <w:t xml:space="preserve">Not natively: </w:t>
      </w:r>
      <w:r>
        <w:t xml:space="preserve">categories, classes, split lines, invoices, or bills — the bank feed brings the transaction, not the coding. You re-categorize as you import (using the old file as your reference).</w:t>
      </w:r>
    </w:p>
    <w:p>
      <w:pPr>
        <w:pStyle w:val="ListParagraph"/>
        <w:numPr>
          <w:ilvl w:val="0"/>
          <w:numId w:val="3"/>
        </w:numPr>
        <w:spacing w:after="60"/>
      </w:pPr>
      <w:r>
        <w:rPr>
          <w:b/>
          <w:bCs/>
        </w:rPr>
        <w:t xml:space="preserve">Optional shortcut: </w:t>
      </w:r>
      <w:r>
        <w:t xml:space="preserve">a paid import tool (SaasAnt / Transaction Pro) can bring in fully-coded transactions, invoices, bills, and journal entries — not just bank lines — if you’d rather migrate than re-key.</w:t>
      </w:r>
    </w:p>
    <w:p>
      <w:pPr>
        <w:pStyle w:val="ListParagraph"/>
        <w:numPr>
          <w:ilvl w:val="0"/>
          <w:numId w:val="3"/>
        </w:numPr>
        <w:spacing w:after="60"/>
      </w:pPr>
      <w:r>
        <w:rPr>
          <w:b/>
          <w:bCs/>
        </w:rPr>
        <w:t xml:space="preserve">Connect each bank/credit account to only one file </w:t>
      </w:r>
      <w:r>
        <w:t xml:space="preserve">so books stay clean. Confirm no account is shared between the two entities — that’s the one thing that would blow up this plan.</w:t>
      </w:r>
    </w:p>
    <w:p>
      <w:pPr>
        <w:spacing w:after="120"/>
      </w:pPr>
      <w:r>
        <w:rPr>
          <w:i/>
          <w:iCs/>
          <w:color w:val="555555"/>
          <w:sz w:val="18"/>
          <w:szCs w:val="18"/>
        </w:rPr>
        <w:t xml:space="preserve">Bottom line on your question: for the new company you’ll mainly rebuild from bank and credit-card statements (feed + CSV), re-coding as you go — unless you use a paid import tool to carry over the fully-coded transactions.</w:t>
      </w:r>
    </w:p>
    <w:p>
      <w:pPr>
        <w:pStyle w:val="Heading2"/>
      </w:pPr>
      <w:r>
        <w:t xml:space="preserve">If a bank or credit card is shared between the two entities</w:t>
      </w:r>
    </w:p>
    <w:p>
      <w:pPr>
        <w:spacing w:after="120"/>
      </w:pPr>
      <w:r>
        <w:t xml:space="preserve">This is a legal/tax issue first, a bookkeeping one second — flag it if the answer on the call is “it’s all one card.”</w:t>
      </w:r>
    </w:p>
    <w:p>
      <w:pPr>
        <w:pStyle w:val="ListParagraph"/>
        <w:numPr>
          <w:ilvl w:val="0"/>
          <w:numId w:val="3"/>
        </w:numPr>
        <w:spacing w:after="60"/>
      </w:pPr>
      <w:r>
        <w:rPr>
          <w:b/>
          <w:bCs/>
        </w:rPr>
        <w:t xml:space="preserve">An account reconciles in only one file. </w:t>
      </w:r>
      <w:r>
        <w:t xml:space="preserve">Reconciling matches QBO to one bank statement; you can’t split one account’s reconciliation across two companies. The account lives in the entity whose name/EIN is on it.</w:t>
      </w:r>
    </w:p>
    <w:p>
      <w:pPr>
        <w:pStyle w:val="ListParagraph"/>
        <w:numPr>
          <w:ilvl w:val="0"/>
          <w:numId w:val="3"/>
        </w:numPr>
        <w:spacing w:after="60"/>
      </w:pPr>
      <w:r>
        <w:rPr>
          <w:b/>
          <w:bCs/>
        </w:rPr>
        <w:t xml:space="preserve">Don’t connect one account to both files. </w:t>
      </w:r>
      <w:r>
        <w:t xml:space="preserve">Both files would then pull every transaction on it — including the other entity’s — and you’d be excluding half the feed forever. Pick one file per account.</w:t>
      </w:r>
    </w:p>
    <w:p>
      <w:pPr>
        <w:pStyle w:val="ListParagraph"/>
        <w:numPr>
          <w:ilvl w:val="0"/>
          <w:numId w:val="3"/>
        </w:numPr>
        <w:spacing w:after="60"/>
      </w:pPr>
      <w:r>
        <w:rPr>
          <w:b/>
          <w:bCs/>
        </w:rPr>
        <w:t xml:space="preserve">The other entity’s activity becomes intercompany. </w:t>
      </w:r>
      <w:r>
        <w:t xml:space="preserve">When the shared card pays the other entity’s expense, book it in the owner entity, then clear it through a due-to/due-from (or owner contribution/distribution) so it lands in the right P&amp;L. Recurring monthly work.</w:t>
      </w:r>
    </w:p>
    <w:p>
      <w:pPr>
        <w:pStyle w:val="ListParagraph"/>
        <w:numPr>
          <w:ilvl w:val="0"/>
          <w:numId w:val="3"/>
        </w:numPr>
        <w:spacing w:after="60"/>
      </w:pPr>
      <w:r>
        <w:rPr>
          <w:b/>
          <w:bCs/>
        </w:rPr>
        <w:t xml:space="preserve">It’s already happening here. </w:t>
      </w:r>
      <w:r>
        <w:t xml:space="preserve">The GL shows Money Market (Ameris) transfers tagged “Second Mile Investments” — money is already moving between the entities, so intercompany cleanup is part of the 2025 rebuild.</w:t>
      </w:r>
    </w:p>
    <w:p>
      <w:pPr>
        <w:pStyle w:val="ListParagraph"/>
        <w:numPr>
          <w:ilvl w:val="0"/>
          <w:numId w:val="3"/>
        </w:numPr>
        <w:spacing w:after="60"/>
      </w:pPr>
      <w:r>
        <w:rPr>
          <w:b/>
          <w:bCs/>
        </w:rPr>
        <w:t xml:space="preserve">Recommend separate accounts going forward. </w:t>
      </w:r>
      <w:r>
        <w:t xml:space="preserve">Commingling funds between an S-corp and an LLC weakens the liability protection that’s the point of two entities and muddies both returns. Reconstruct 2025 via intercompany entries; from a clean start date, each entity runs on its own accounts.</w:t>
      </w:r>
    </w:p>
    <w:p>
      <w:pPr>
        <w:pStyle w:val="Heading2"/>
      </w:pPr>
      <w:r>
        <w:t xml:space="preserve">How reconciliation works once the files are separate</w:t>
      </w:r>
    </w:p>
    <w:p>
      <w:pPr>
        <w:pStyle w:val="ListParagraph"/>
        <w:numPr>
          <w:ilvl w:val="0"/>
          <w:numId w:val="3"/>
        </w:numPr>
        <w:spacing w:after="60"/>
      </w:pPr>
      <w:r>
        <w:rPr>
          <w:b/>
          <w:bCs/>
        </w:rPr>
        <w:t xml:space="preserve">Opening balance is the anchor. </w:t>
      </w:r>
      <w:r>
        <w:t xml:space="preserve">The 1/1/2025 opening balances (from the CPA’s 12/31/2024 balance sheet) are your reconciled starting point.</w:t>
      </w:r>
    </w:p>
    <w:p>
      <w:pPr>
        <w:pStyle w:val="ListParagraph"/>
        <w:numPr>
          <w:ilvl w:val="0"/>
          <w:numId w:val="3"/>
        </w:numPr>
        <w:spacing w:after="60"/>
      </w:pPr>
      <w:r>
        <w:rPr>
          <w:b/>
          <w:bCs/>
        </w:rPr>
        <w:t xml:space="preserve">Reconcile forward, month by month, inside QBO. </w:t>
      </w:r>
      <w:r>
        <w:t xml:space="preserve">Use the built-in Reconcile tool: enter each month’s statement ending balance and date, tick transactions until the difference is $0. ~18 monthly reconciliations per account in the rebuild; one per account per month going forward.</w:t>
      </w:r>
    </w:p>
    <w:p>
      <w:pPr>
        <w:pStyle w:val="ListParagraph"/>
        <w:numPr>
          <w:ilvl w:val="0"/>
          <w:numId w:val="3"/>
        </w:numPr>
        <w:spacing w:after="60"/>
      </w:pPr>
      <w:r>
        <w:rPr>
          <w:b/>
          <w:bCs/>
        </w:rPr>
        <w:t xml:space="preserve">Bank-feed matching is not reconciliation. </w:t>
      </w:r>
      <w:r>
        <w:t xml:space="preserve">The feed flows transactions in and suggests matches, but you still run the reconcile against the statement — the statement is always the source of truth.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5F"/>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2026-07-01T16:23:42.752Z</dcterms:created>
  <dcterms:modified xsi:type="dcterms:W3CDTF">2026-07-01T16:23:42.753Z</dcterms:modified>
</cp:coreProperties>
</file>

<file path=docProps/custom.xml><?xml version="1.0" encoding="utf-8"?>
<Properties xmlns="http://schemas.openxmlformats.org/officeDocument/2006/custom-properties" xmlns:vt="http://schemas.openxmlformats.org/officeDocument/2006/docPropsVTypes"/>
</file>