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8" name="image1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6" name="image15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B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gmail-ex.py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1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2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7.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B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blog</w:t>
        </w:r>
      </w:hyperlink>
      <w:r w:rsidDel="00000000" w:rsidR="00000000" w:rsidRPr="00000000">
        <w:rPr>
          <w:sz w:val="28"/>
          <w:szCs w:val="28"/>
          <w:rtl w:val="0"/>
        </w:rPr>
        <w:t xml:space="preserve">, you will see the posts are read and displayed 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collections:</w:t>
      </w:r>
    </w:p>
    <w:p w:rsidR="00000000" w:rsidDel="00000000" w:rsidP="00000000" w:rsidRDefault="00000000" w:rsidRPr="00000000" w14:paraId="0000001C">
      <w:pPr>
        <w:spacing w:line="307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 w14:paraId="0000002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 w14:paraId="00000025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2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 w14:paraId="0000002A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 w14:paraId="0000003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e-blog.herokuapp.com/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c4e-blog.herokuapp.com/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18" Type="http://schemas.openxmlformats.org/officeDocument/2006/relationships/header" Target="header1.xml"/><Relationship Id="rId7" Type="http://schemas.openxmlformats.org/officeDocument/2006/relationships/image" Target="media/image15.jp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