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rPr/>
      </w:pPr>
      <w:r>
        <w:rPr/>
        <w:tab/>
        <w:t xml:space="preserve"> </w:t>
        <w:tab/>
      </w:r>
    </w:p>
    <w:p>
      <w:pPr>
        <w:pStyle w:val="normal1"/>
        <w:spacing w:lineRule="auto" w:line="276"/>
        <w:rPr/>
      </w:pPr>
      <w:r>
        <w:rPr/>
        <w:tab/>
        <w:t xml:space="preserve"> </w:t>
        <w:tab/>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r>
    </w:p>
    <w:p>
      <w:pPr>
        <w:pStyle w:val="normal1"/>
        <w:spacing w:lineRule="auto" w:line="276" w:before="200" w:after="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 xml:space="preserve">TD Bank Enterprise Risk Management Report  </w:t>
      </w:r>
    </w:p>
    <w:p>
      <w:pPr>
        <w:pStyle w:val="normal1"/>
        <w:spacing w:lineRule="auto" w:line="276" w:before="20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Group 8: Darshil Dinesh Mistry, Temitayo Adesayo, Mengyuan Dong</w:t>
      </w:r>
    </w:p>
    <w:p>
      <w:pPr>
        <w:pStyle w:val="normal1"/>
        <w:spacing w:lineRule="auto" w:line="276" w:before="20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MPS Analytics, Northeastern University</w:t>
      </w:r>
    </w:p>
    <w:p>
      <w:pPr>
        <w:pStyle w:val="normal1"/>
        <w:spacing w:lineRule="auto" w:line="276" w:before="20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ALY6130</w:t>
      </w:r>
    </w:p>
    <w:p>
      <w:pPr>
        <w:pStyle w:val="normal1"/>
        <w:keepNext w:val="false"/>
        <w:keepLines w:val="false"/>
        <w:pageBreakBefore w:val="false"/>
        <w:widowControl/>
        <w:pBdr/>
        <w:shd w:val="clear" w:fill="auto"/>
        <w:spacing w:lineRule="auto" w:line="276" w:before="200" w:after="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Abeba N. Turi (Ph.D.) </w:t>
      </w:r>
    </w:p>
    <w:p>
      <w:pPr>
        <w:pStyle w:val="normal1"/>
        <w:spacing w:lineRule="auto" w:line="276" w:before="20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May 26, 2026</w:t>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76" w:before="20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Introduction</w:t>
      </w:r>
    </w:p>
    <w:p>
      <w:pPr>
        <w:pStyle w:val="Heading2"/>
        <w:keepNext w:val="false"/>
        <w:keepLines w:val="false"/>
        <w:spacing w:lineRule="auto" w:line="276" w:before="360" w:after="80"/>
        <w:rPr>
          <w:rFonts w:ascii="Times New Roman" w:hAnsi="Times New Roman" w:eastAsia="Times New Roman" w:cs="Times New Roman"/>
          <w:b/>
          <w:bCs/>
          <w:sz w:val="34"/>
          <w:szCs w:val="34"/>
        </w:rPr>
      </w:pPr>
      <w:bookmarkStart w:id="0" w:name="_iz4uudy0m7mf"/>
      <w:bookmarkEnd w:id="0"/>
      <w:r>
        <w:rPr>
          <w:rFonts w:eastAsia="Times New Roman" w:cs="Times New Roman" w:ascii="Times New Roman" w:hAnsi="Times New Roman"/>
          <w:b/>
          <w:bCs/>
          <w:sz w:val="24"/>
          <w:szCs w:val="24"/>
        </w:rPr>
        <w:t>Company Overview</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TD Bank is one of the largest financial institutions in North America. It provides retail banking, commercial banking, wealth management, lending, insurance, and digital banking services across Canada and the United States. TD serves millions of customers through branches, ATMs, online banking platforms, and mobile applications.</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Due to its size, customer volume, and cross-border operations, TD Bank is exposed to a wide range of enterprise risks including financial risk, operational risk, cybersecurity risk, compliance risk, reputational risk, and strategic risk.</w:t>
      </w:r>
    </w:p>
    <w:p>
      <w:pPr>
        <w:pStyle w:val="Heading2"/>
        <w:keepNext w:val="false"/>
        <w:keepLines w:val="false"/>
        <w:spacing w:lineRule="auto" w:line="276" w:before="360" w:after="80"/>
        <w:rPr>
          <w:rFonts w:ascii="Times New Roman" w:hAnsi="Times New Roman" w:eastAsia="Times New Roman" w:cs="Times New Roman"/>
          <w:b/>
          <w:bCs/>
          <w:sz w:val="34"/>
          <w:szCs w:val="34"/>
        </w:rPr>
      </w:pPr>
      <w:bookmarkStart w:id="1" w:name="_ymmxkuuklfde"/>
      <w:bookmarkEnd w:id="1"/>
      <w:r>
        <w:rPr>
          <w:rFonts w:eastAsia="Times New Roman" w:cs="Times New Roman" w:ascii="Times New Roman" w:hAnsi="Times New Roman"/>
          <w:b/>
          <w:bCs/>
          <w:sz w:val="24"/>
          <w:szCs w:val="24"/>
        </w:rPr>
        <w:t>Business Scenario</w:t>
      </w:r>
    </w:p>
    <w:p>
      <w:pPr>
        <w:pStyle w:val="normal1"/>
        <w:spacing w:lineRule="auto" w:line="276" w:before="240" w:after="240"/>
        <w:rPr>
          <w:rFonts w:ascii="Times New Roman" w:hAnsi="Times New Roman" w:eastAsia="Times New Roman" w:cs="Times New Roman"/>
          <w:sz w:val="46"/>
          <w:szCs w:val="46"/>
        </w:rPr>
      </w:pPr>
      <w:r>
        <w:rPr>
          <w:rFonts w:eastAsia="Times New Roman" w:cs="Times New Roman" w:ascii="Times New Roman" w:hAnsi="Times New Roman"/>
          <w:sz w:val="24"/>
          <w:szCs w:val="24"/>
        </w:rPr>
        <w:t>This report focuses on: Operating During Economic Turbulence</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banking industry is highly sensitive to macroeconomic conditions. Economic turbulence may include:</w:t>
      </w:r>
    </w:p>
    <w:p>
      <w:pPr>
        <w:pStyle w:val="normal1"/>
        <w:numPr>
          <w:ilvl w:val="0"/>
          <w:numId w:val="1"/>
        </w:numPr>
        <w:spacing w:lineRule="auto" w:line="276"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inflation</w:t>
      </w:r>
    </w:p>
    <w:p>
      <w:pPr>
        <w:pStyle w:val="normal1"/>
        <w:numPr>
          <w:ilvl w:val="0"/>
          <w:numId w:val="1"/>
        </w:numPr>
        <w:spacing w:lineRule="auto" w:line="276"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rising interest rates</w:t>
      </w:r>
    </w:p>
    <w:p>
      <w:pPr>
        <w:pStyle w:val="normal1"/>
        <w:numPr>
          <w:ilvl w:val="0"/>
          <w:numId w:val="1"/>
        </w:numPr>
        <w:spacing w:lineRule="auto" w:line="276"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recession</w:t>
      </w:r>
    </w:p>
    <w:p>
      <w:pPr>
        <w:pStyle w:val="normal1"/>
        <w:numPr>
          <w:ilvl w:val="0"/>
          <w:numId w:val="1"/>
        </w:numPr>
        <w:spacing w:lineRule="auto" w:line="276"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unemployment</w:t>
      </w:r>
    </w:p>
    <w:p>
      <w:pPr>
        <w:pStyle w:val="normal1"/>
        <w:numPr>
          <w:ilvl w:val="0"/>
          <w:numId w:val="1"/>
        </w:numPr>
        <w:spacing w:lineRule="auto" w:line="276"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stock market volatility</w:t>
      </w:r>
    </w:p>
    <w:p>
      <w:pPr>
        <w:pStyle w:val="normal1"/>
        <w:numPr>
          <w:ilvl w:val="0"/>
          <w:numId w:val="1"/>
        </w:numPr>
        <w:spacing w:lineRule="auto" w:line="276"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declining consumer confidence</w:t>
      </w:r>
    </w:p>
    <w:p>
      <w:pPr>
        <w:pStyle w:val="normal1"/>
        <w:numPr>
          <w:ilvl w:val="0"/>
          <w:numId w:val="1"/>
        </w:numPr>
        <w:spacing w:lineRule="auto" w:line="276"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reduced borrowing activity</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These conditions can directly affect TD Bank’s financial performance, operational stability, and risk exposure.</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Therefore, applying Enterprise Risk Management helps TD identify, monitor, assess, and mitigate risks before they significantly impact business performance.</w:t>
      </w:r>
    </w:p>
    <w:p>
      <w:pPr>
        <w:pStyle w:val="normal1"/>
        <w:spacing w:lineRule="auto" w:line="276"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spacing w:lineRule="auto" w:line="276" w:before="200" w:after="1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bookmarkStart w:id="2" w:name="_dsjvrfpzml8j"/>
      <w:bookmarkEnd w:id="2"/>
    </w:p>
    <w:p>
      <w:pPr>
        <w:pStyle w:val="Heading1"/>
        <w:keepNext w:val="false"/>
        <w:keepLines w:val="false"/>
        <w:spacing w:lineRule="auto" w:line="276" w:before="480" w:after="120"/>
        <w:jc w:val="center"/>
        <w:rPr>
          <w:b/>
          <w:bCs/>
          <w:sz w:val="46"/>
          <w:szCs w:val="46"/>
        </w:rPr>
      </w:pPr>
      <w:bookmarkStart w:id="3" w:name="_q343evc9m3i2"/>
      <w:bookmarkEnd w:id="3"/>
      <w:r>
        <w:rPr>
          <w:rFonts w:eastAsia="Times New Roman" w:cs="Times New Roman" w:ascii="Times New Roman" w:hAnsi="Times New Roman"/>
          <w:b/>
          <w:bCs/>
          <w:sz w:val="24"/>
          <w:szCs w:val="24"/>
        </w:rPr>
        <w:t>Key Risk Indicators (KRIs)</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Key Risk Indicators are measurable signals used to monitor risk exposure and identify early warning signs.</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For TD Bank, KRIs are analyzed across people, process, technology, facilities, and operational environment.</w:t>
      </w:r>
    </w:p>
    <w:p>
      <w:pPr>
        <w:pStyle w:val="normal1"/>
        <w:spacing w:lineRule="auto" w:line="276"/>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 People Risk</w:t>
      </w:r>
    </w:p>
    <w:p>
      <w:pPr>
        <w:pStyle w:val="normal1"/>
        <w:spacing w:lineRule="auto" w:line="276"/>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Table1"/>
        <w:tblW w:w="9000" w:type="dxa"/>
        <w:jc w:val="start"/>
        <w:tblInd w:w="0" w:type="dxa"/>
        <w:tblLayout w:type="fixed"/>
        <w:tblCellMar>
          <w:top w:w="100" w:type="dxa"/>
          <w:start w:w="100" w:type="dxa"/>
          <w:bottom w:w="100" w:type="dxa"/>
          <w:end w:w="100" w:type="dxa"/>
        </w:tblCellMar>
        <w:tblLook w:val="0600"/>
      </w:tblPr>
      <w:tblGrid>
        <w:gridCol w:w="3000"/>
        <w:gridCol w:w="4350"/>
        <w:gridCol w:w="1650"/>
      </w:tblGrid>
      <w:tr>
        <w:trPr>
          <w:trHeight w:val="653" w:hRule="atLeast"/>
          <w:cantSplit/>
        </w:trPr>
        <w:tc>
          <w:tcPr>
            <w:tcW w:w="300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KRI</w:t>
            </w:r>
          </w:p>
        </w:tc>
        <w:tc>
          <w:tcPr>
            <w:tcW w:w="43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Description</w:t>
            </w:r>
          </w:p>
        </w:tc>
        <w:tc>
          <w:tcPr>
            <w:tcW w:w="16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Risk Level</w:t>
            </w:r>
          </w:p>
        </w:tc>
      </w:tr>
      <w:tr>
        <w:trPr>
          <w:trHeight w:val="787" w:hRule="atLeast"/>
          <w:cantSplit/>
        </w:trPr>
        <w:tc>
          <w:tcPr>
            <w:tcW w:w="300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Employee turnover rate</w:t>
            </w:r>
          </w:p>
        </w:tc>
        <w:tc>
          <w:tcPr>
            <w:tcW w:w="43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 turnover may weaken service quality and internal controls</w:t>
            </w:r>
          </w:p>
        </w:tc>
        <w:tc>
          <w:tcPr>
            <w:tcW w:w="16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trHeight w:val="782" w:hRule="atLeast"/>
          <w:cantSplit/>
        </w:trPr>
        <w:tc>
          <w:tcPr>
            <w:tcW w:w="300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Employee burnout rate</w:t>
            </w:r>
          </w:p>
        </w:tc>
        <w:tc>
          <w:tcPr>
            <w:tcW w:w="43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Economic uncertainty increases workplace stress</w:t>
            </w:r>
          </w:p>
        </w:tc>
        <w:tc>
          <w:tcPr>
            <w:tcW w:w="16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cantSplit/>
        </w:trPr>
        <w:tc>
          <w:tcPr>
            <w:tcW w:w="300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Compliance staffing shortage</w:t>
            </w:r>
          </w:p>
        </w:tc>
        <w:tc>
          <w:tcPr>
            <w:tcW w:w="43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Lack of qualified compliance staff increases regulatory risk</w:t>
            </w:r>
          </w:p>
        </w:tc>
        <w:tc>
          <w:tcPr>
            <w:tcW w:w="16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r>
        <w:trPr>
          <w:cantSplit/>
        </w:trPr>
        <w:tc>
          <w:tcPr>
            <w:tcW w:w="300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Training completion rate</w:t>
            </w:r>
          </w:p>
        </w:tc>
        <w:tc>
          <w:tcPr>
            <w:tcW w:w="43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Incomplete training may increase operational errors</w:t>
            </w:r>
          </w:p>
        </w:tc>
        <w:tc>
          <w:tcPr>
            <w:tcW w:w="1650" w:type="dxa"/>
            <w:tcBorders>
              <w:top w:val="single" w:sz="8" w:space="0" w:color="000000"/>
              <w:start w:val="single" w:sz="8" w:space="0" w:color="000000"/>
              <w:bottom w:val="single" w:sz="8" w:space="0" w:color="000000"/>
              <w:end w:val="single" w:sz="8" w:space="0" w:color="000000"/>
            </w:tcBorders>
          </w:tcPr>
          <w:p>
            <w:pPr>
              <w:pStyle w:val="normal1"/>
              <w:spacing w:lineRule="auto" w:line="276" w:before="240" w:after="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bl>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 Process Risk </w:t>
      </w:r>
    </w:p>
    <w:tbl>
      <w:tblPr>
        <w:tblStyle w:val="Table2"/>
        <w:tblW w:w="9030" w:type="dxa"/>
        <w:jc w:val="start"/>
        <w:tblInd w:w="0" w:type="dxa"/>
        <w:tblLayout w:type="fixed"/>
        <w:tblCellMar>
          <w:top w:w="0" w:type="dxa"/>
          <w:start w:w="108" w:type="dxa"/>
          <w:bottom w:w="0" w:type="dxa"/>
          <w:end w:w="108" w:type="dxa"/>
        </w:tblCellMar>
        <w:tblLook w:val="0600"/>
      </w:tblPr>
      <w:tblGrid>
        <w:gridCol w:w="3135"/>
        <w:gridCol w:w="4229"/>
        <w:gridCol w:w="1666"/>
      </w:tblGrid>
      <w:tr>
        <w:trPr>
          <w:trHeight w:val="785" w:hRule="atLeast"/>
        </w:trPr>
        <w:tc>
          <w:tcPr>
            <w:tcW w:w="31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KRI</w:t>
            </w:r>
          </w:p>
        </w:tc>
        <w:tc>
          <w:tcPr>
            <w:tcW w:w="42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Description</w:t>
            </w:r>
          </w:p>
        </w:tc>
        <w:tc>
          <w:tcPr>
            <w:tcW w:w="166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Risk Level</w:t>
            </w:r>
          </w:p>
        </w:tc>
      </w:tr>
      <w:tr>
        <w:trPr>
          <w:trHeight w:val="785" w:hRule="atLeast"/>
        </w:trPr>
        <w:tc>
          <w:tcPr>
            <w:tcW w:w="31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Loan default rate</w:t>
            </w:r>
          </w:p>
        </w:tc>
        <w:tc>
          <w:tcPr>
            <w:tcW w:w="42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Rising defaults during recession reduce profitability</w:t>
            </w:r>
          </w:p>
        </w:tc>
        <w:tc>
          <w:tcPr>
            <w:tcW w:w="166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r>
        <w:trPr>
          <w:trHeight w:val="785" w:hRule="atLeast"/>
        </w:trPr>
        <w:tc>
          <w:tcPr>
            <w:tcW w:w="31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Fraud investigation response time</w:t>
            </w:r>
          </w:p>
        </w:tc>
        <w:tc>
          <w:tcPr>
            <w:tcW w:w="42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Delayed response increases operational losses</w:t>
            </w:r>
          </w:p>
        </w:tc>
        <w:tc>
          <w:tcPr>
            <w:tcW w:w="166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r>
        <w:trPr>
          <w:trHeight w:val="500" w:hRule="atLeast"/>
        </w:trPr>
        <w:tc>
          <w:tcPr>
            <w:tcW w:w="31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Transaction error frequency</w:t>
            </w:r>
          </w:p>
        </w:tc>
        <w:tc>
          <w:tcPr>
            <w:tcW w:w="42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Processing errors impact customer trust</w:t>
            </w:r>
          </w:p>
        </w:tc>
        <w:tc>
          <w:tcPr>
            <w:tcW w:w="166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trHeight w:val="785" w:hRule="atLeast"/>
        </w:trPr>
        <w:tc>
          <w:tcPr>
            <w:tcW w:w="313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Customer complaint volume</w:t>
            </w:r>
          </w:p>
        </w:tc>
        <w:tc>
          <w:tcPr>
            <w:tcW w:w="42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Indicates service disruption or operational weakness</w:t>
            </w:r>
          </w:p>
        </w:tc>
        <w:tc>
          <w:tcPr>
            <w:tcW w:w="166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bl>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3. Technology Risk </w:t>
      </w:r>
    </w:p>
    <w:tbl>
      <w:tblPr>
        <w:tblStyle w:val="Table3"/>
        <w:tblW w:w="9030" w:type="dxa"/>
        <w:jc w:val="start"/>
        <w:tblInd w:w="0" w:type="dxa"/>
        <w:tblLayout w:type="fixed"/>
        <w:tblCellMar>
          <w:top w:w="100" w:type="dxa"/>
          <w:start w:w="100" w:type="dxa"/>
          <w:bottom w:w="100" w:type="dxa"/>
          <w:end w:w="100" w:type="dxa"/>
        </w:tblCellMar>
        <w:tblLook w:val="0600"/>
      </w:tblPr>
      <w:tblGrid>
        <w:gridCol w:w="3105"/>
        <w:gridCol w:w="4275"/>
        <w:gridCol w:w="1650"/>
      </w:tblGrid>
      <w:tr>
        <w:trPr>
          <w:trHeight w:val="785" w:hRule="atLeast"/>
        </w:trPr>
        <w:tc>
          <w:tcPr>
            <w:tcW w:w="31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KRI</w:t>
            </w:r>
          </w:p>
        </w:tc>
        <w:tc>
          <w:tcPr>
            <w:tcW w:w="427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Description</w:t>
            </w:r>
          </w:p>
        </w:tc>
        <w:tc>
          <w:tcPr>
            <w:tcW w:w="16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Risk Level</w:t>
            </w:r>
          </w:p>
        </w:tc>
      </w:tr>
      <w:tr>
        <w:trPr>
          <w:trHeight w:val="785" w:hRule="atLeast"/>
        </w:trPr>
        <w:tc>
          <w:tcPr>
            <w:tcW w:w="31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Cybersecurity incident frequency</w:t>
            </w:r>
          </w:p>
        </w:tc>
        <w:tc>
          <w:tcPr>
            <w:tcW w:w="427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Banking systems are highly targeted by cyberattacks</w:t>
            </w:r>
          </w:p>
        </w:tc>
        <w:tc>
          <w:tcPr>
            <w:tcW w:w="16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r>
        <w:trPr>
          <w:trHeight w:val="500" w:hRule="atLeast"/>
        </w:trPr>
        <w:tc>
          <w:tcPr>
            <w:tcW w:w="31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Failed login attempts</w:t>
            </w:r>
          </w:p>
        </w:tc>
        <w:tc>
          <w:tcPr>
            <w:tcW w:w="427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Possible unauthorized access indicator</w:t>
            </w:r>
          </w:p>
        </w:tc>
        <w:tc>
          <w:tcPr>
            <w:tcW w:w="16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r>
        <w:trPr>
          <w:trHeight w:val="785" w:hRule="atLeast"/>
        </w:trPr>
        <w:tc>
          <w:tcPr>
            <w:tcW w:w="31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Core banking system downtime</w:t>
            </w:r>
          </w:p>
        </w:tc>
        <w:tc>
          <w:tcPr>
            <w:tcW w:w="427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Impacts service delivery and customer trust</w:t>
            </w:r>
          </w:p>
        </w:tc>
        <w:tc>
          <w:tcPr>
            <w:tcW w:w="16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trHeight w:val="500" w:hRule="atLeast"/>
        </w:trPr>
        <w:tc>
          <w:tcPr>
            <w:tcW w:w="31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Digital fraud cases</w:t>
            </w:r>
          </w:p>
        </w:tc>
        <w:tc>
          <w:tcPr>
            <w:tcW w:w="427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Increasing with online banking expansion</w:t>
            </w:r>
          </w:p>
        </w:tc>
        <w:tc>
          <w:tcPr>
            <w:tcW w:w="1650"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r>
    </w:tbl>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4. Facilities Risk </w:t>
      </w:r>
    </w:p>
    <w:tbl>
      <w:tblPr>
        <w:tblStyle w:val="Table4"/>
        <w:tblW w:w="9030" w:type="dxa"/>
        <w:jc w:val="start"/>
        <w:tblInd w:w="0" w:type="dxa"/>
        <w:tblLayout w:type="fixed"/>
        <w:tblCellMar>
          <w:top w:w="0" w:type="dxa"/>
          <w:start w:w="108" w:type="dxa"/>
          <w:bottom w:w="0" w:type="dxa"/>
          <w:end w:w="108" w:type="dxa"/>
        </w:tblCellMar>
        <w:tblLook w:val="0600"/>
      </w:tblPr>
      <w:tblGrid>
        <w:gridCol w:w="2729"/>
        <w:gridCol w:w="4696"/>
        <w:gridCol w:w="1605"/>
      </w:tblGrid>
      <w:tr>
        <w:trPr>
          <w:trHeight w:val="679" w:hRule="atLeast"/>
        </w:trPr>
        <w:tc>
          <w:tcPr>
            <w:tcW w:w="27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KRI</w:t>
            </w:r>
          </w:p>
        </w:tc>
        <w:tc>
          <w:tcPr>
            <w:tcW w:w="469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Description</w:t>
            </w:r>
          </w:p>
        </w:tc>
        <w:tc>
          <w:tcPr>
            <w:tcW w:w="16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Risk Level</w:t>
            </w:r>
          </w:p>
        </w:tc>
      </w:tr>
      <w:tr>
        <w:trPr>
          <w:trHeight w:val="785" w:hRule="atLeast"/>
        </w:trPr>
        <w:tc>
          <w:tcPr>
            <w:tcW w:w="27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Branch disruptions</w:t>
            </w:r>
          </w:p>
        </w:tc>
        <w:tc>
          <w:tcPr>
            <w:tcW w:w="469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Weather or infrastructure disruptions affect branch operations</w:t>
            </w:r>
          </w:p>
        </w:tc>
        <w:tc>
          <w:tcPr>
            <w:tcW w:w="16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trHeight w:val="785" w:hRule="atLeast"/>
        </w:trPr>
        <w:tc>
          <w:tcPr>
            <w:tcW w:w="27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ATM service outage frequency</w:t>
            </w:r>
          </w:p>
        </w:tc>
        <w:tc>
          <w:tcPr>
            <w:tcW w:w="469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Impacts customer access to banking services</w:t>
            </w:r>
          </w:p>
        </w:tc>
        <w:tc>
          <w:tcPr>
            <w:tcW w:w="16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Medium</w:t>
            </w:r>
          </w:p>
        </w:tc>
      </w:tr>
      <w:tr>
        <w:trPr>
          <w:trHeight w:val="500" w:hRule="atLeast"/>
        </w:trPr>
        <w:tc>
          <w:tcPr>
            <w:tcW w:w="2729"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Physical security incidents</w:t>
            </w:r>
          </w:p>
        </w:tc>
        <w:tc>
          <w:tcPr>
            <w:tcW w:w="4696"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Theft or unauthorized access risk</w:t>
            </w:r>
          </w:p>
        </w:tc>
        <w:tc>
          <w:tcPr>
            <w:tcW w:w="1605" w:type="dxa"/>
            <w:tcBorders>
              <w:top w:val="single" w:sz="6" w:space="0" w:color="000000"/>
              <w:start w:val="single" w:sz="6" w:space="0" w:color="000000"/>
              <w:bottom w:val="single" w:sz="6" w:space="0" w:color="000000"/>
              <w:end w:val="single" w:sz="6" w:space="0" w:color="000000"/>
            </w:tcBorders>
          </w:tcPr>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r>
    </w:tbl>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bookmarkStart w:id="4" w:name="_2bnuxuwy9hut"/>
      <w:bookmarkEnd w:id="4"/>
    </w:p>
    <w:p>
      <w:pPr>
        <w:pStyle w:val="Heading1"/>
        <w:keepNext w:val="false"/>
        <w:keepLines w:val="false"/>
        <w:spacing w:lineRule="auto" w:line="276" w:before="480" w:after="120"/>
        <w:jc w:val="center"/>
        <w:rPr>
          <w:rFonts w:ascii="Times New Roman" w:hAnsi="Times New Roman" w:eastAsia="Times New Roman" w:cs="Times New Roman"/>
          <w:b/>
          <w:bCs/>
          <w:sz w:val="46"/>
          <w:szCs w:val="46"/>
        </w:rPr>
      </w:pPr>
      <w:bookmarkStart w:id="5" w:name="_fmy5a9tfp7ow"/>
      <w:bookmarkEnd w:id="5"/>
      <w:r>
        <w:rPr>
          <w:rFonts w:eastAsia="Times New Roman" w:cs="Times New Roman" w:ascii="Times New Roman" w:hAnsi="Times New Roman"/>
          <w:b/>
          <w:bCs/>
          <w:sz w:val="24"/>
          <w:szCs w:val="24"/>
        </w:rPr>
        <w:t>Brainstorming and Risk Identification</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 brainstorming approach was used to identify internal and external risks relevant to TD Bank during economic instability.</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The team considered:</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Internal Factors</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employee turnover</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operational inefficiencies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internal fraud</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cybersecurity vulnerabilities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IT system reliability</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lending quality</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liquidity management</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External Factors</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inflation</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rising interest rates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economic recession</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regulatory changes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increased fintech competition</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customer loan defaults</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cybercrime targeting financial institutions</w:t>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bookmarkStart w:id="6" w:name="_q4e4rfmoii9p"/>
      <w:bookmarkEnd w:id="6"/>
    </w:p>
    <w:p>
      <w:pPr>
        <w:pStyle w:val="Heading1"/>
        <w:keepNext w:val="false"/>
        <w:keepLines w:val="false"/>
        <w:pageBreakBefore w:val="false"/>
        <w:widowControl/>
        <w:pBdr/>
        <w:shd w:val="clear" w:fill="auto"/>
        <w:spacing w:lineRule="auto" w:line="276" w:before="480" w:after="120"/>
        <w:ind w:hanging="0" w:start="0" w:end="0"/>
        <w:jc w:val="center"/>
        <w:rPr/>
      </w:pPr>
      <w:bookmarkStart w:id="7" w:name="_pdqfckf76juk"/>
      <w:bookmarkEnd w:id="7"/>
      <w:r>
        <w:rPr>
          <w:rFonts w:eastAsia="Times New Roman" w:cs="Times New Roman" w:ascii="Times New Roman" w:hAnsi="Times New Roman"/>
          <w:b/>
          <w:bCs/>
          <w:sz w:val="24"/>
          <w:szCs w:val="24"/>
        </w:rPr>
        <w:t xml:space="preserve">SWOT Analysis </w:t>
      </w:r>
    </w:p>
    <w:p>
      <w:pPr>
        <w:pStyle w:val="normal1"/>
        <w:rPr/>
      </w:pPr>
      <w:r>
        <w:rPr/>
        <w:tab/>
        <w:t xml:space="preserve"> </w:t>
        <w:tab/>
      </w:r>
    </w:p>
    <w:tbl>
      <w:tblPr>
        <w:tblStyle w:val="Table5"/>
        <w:tblW w:w="9015" w:type="dxa"/>
        <w:jc w:val="start"/>
        <w:tblInd w:w="14" w:type="dxa"/>
        <w:tblLayout w:type="fixed"/>
        <w:tblCellMar>
          <w:top w:w="0" w:type="dxa"/>
          <w:start w:w="0" w:type="dxa"/>
          <w:bottom w:w="0" w:type="dxa"/>
          <w:end w:w="0" w:type="dxa"/>
        </w:tblCellMar>
        <w:tblLook w:val="0600"/>
      </w:tblPr>
      <w:tblGrid>
        <w:gridCol w:w="4500"/>
        <w:gridCol w:w="4515"/>
      </w:tblGrid>
      <w:tr>
        <w:trPr>
          <w:trHeight w:val="4796" w:hRule="atLeast"/>
        </w:trPr>
        <w:tc>
          <w:tcPr>
            <w:tcW w:w="45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14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t>Strengths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sz w:val="24"/>
                <w:szCs w:val="24"/>
              </w:rPr>
              <w:t>1. Strong Brand Reputation</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TD Bank has strong brand recognition and customer trust across North America.</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 Diversified Revenue Streams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Revenue comes from lending, deposits, wealth management, and digital banking.</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3. Strong Capital Position</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TD maintains strong liquidity and capital reserves to withstand economic downturns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14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t>Weaknesses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 High Regulatory Exposure</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Banking is heavily regulated in both Canada and the U.S.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2. Dependence on Interest Income</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Rising rates can reduce borrowing demand and pressure margins.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3. Reputational Exposure</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Public reaction to regulatory issues or failed mergers can damage brand value.</w:t>
            </w:r>
          </w:p>
          <w:p>
            <w:pPr>
              <w:pStyle w:val="normal1"/>
              <w:rPr/>
            </w:pPr>
            <w:r>
              <w:rPr/>
            </w:r>
          </w:p>
        </w:tc>
      </w:tr>
      <w:tr>
        <w:trPr>
          <w:trHeight w:val="3750" w:hRule="atLeast"/>
        </w:trPr>
        <w:tc>
          <w:tcPr>
            <w:tcW w:w="4500"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14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t>Opportunities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 Growth in Digital Banking</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Increasing use of mobile banking and online transactions.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b/>
                <w:bCs/>
                <w:sz w:val="24"/>
                <w:szCs w:val="24"/>
              </w:rPr>
              <w:t>2. AI and Automation</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Improved fraud detection, faster customer service, and better risk monitoring.</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b/>
                <w:bCs/>
                <w:sz w:val="24"/>
                <w:szCs w:val="24"/>
              </w:rPr>
              <w:t>3. Expansion of Financial Products</w:t>
            </w:r>
          </w:p>
          <w:p>
            <w:pPr>
              <w:pStyle w:val="normal1"/>
              <w:keepNext w:val="false"/>
              <w:keepLines w:val="false"/>
              <w:widowControl/>
              <w:pBdr/>
              <w:shd w:val="clear" w:fill="auto"/>
              <w:spacing w:lineRule="auto" w:line="276" w:before="240" w:after="240"/>
              <w:ind w:hanging="0" w:start="0" w:end="0"/>
              <w:jc w:val="start"/>
              <w:rPr/>
            </w:pPr>
            <w:r>
              <w:rPr>
                <w:rFonts w:eastAsia="Times New Roman" w:cs="Times New Roman" w:ascii="Times New Roman" w:hAnsi="Times New Roman"/>
                <w:sz w:val="24"/>
                <w:szCs w:val="24"/>
              </w:rPr>
              <w:t>Potential to offer more digital lending and wealth services.</w:t>
            </w:r>
          </w:p>
          <w:p>
            <w:pPr>
              <w:pStyle w:val="normal1"/>
              <w:rPr/>
            </w:pPr>
            <w:r>
              <w:rPr/>
            </w:r>
          </w:p>
        </w:tc>
        <w:tc>
          <w:tcPr>
            <w:tcW w:w="4515" w:type="dxa"/>
            <w:tcBorders>
              <w:top w:val="single" w:sz="4" w:space="0" w:color="000000"/>
              <w:start w:val="single" w:sz="4" w:space="0" w:color="000000"/>
              <w:bottom w:val="single" w:sz="4" w:space="0" w:color="000000"/>
              <w:end w:val="single" w:sz="4" w:space="0" w:color="000000"/>
            </w:tcBorders>
          </w:tcPr>
          <w:p>
            <w:pPr>
              <w:pStyle w:val="normal1"/>
              <w:spacing w:lineRule="auto" w:line="240" w:before="240" w:after="140"/>
              <w:rPr>
                <w:rFonts w:ascii="Times New Roman" w:hAnsi="Times New Roman" w:eastAsia="Times New Roman" w:cs="Times New Roman"/>
                <w:b/>
                <w:bCs/>
                <w:color w:val="C00000"/>
                <w:sz w:val="32"/>
                <w:szCs w:val="32"/>
              </w:rPr>
            </w:pPr>
            <w:r>
              <w:rPr>
                <w:rFonts w:eastAsia="Times New Roman" w:cs="Times New Roman" w:ascii="Times New Roman" w:hAnsi="Times New Roman"/>
                <w:b/>
                <w:bCs/>
                <w:color w:val="C00000"/>
                <w:sz w:val="32"/>
                <w:szCs w:val="32"/>
              </w:rPr>
              <w:t>Threats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1. Economic Recession</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Can increase loan defaults and reduce profitability.</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b/>
                <w:bCs/>
                <w:sz w:val="24"/>
                <w:szCs w:val="24"/>
              </w:rPr>
              <w:t>2. Cybersecurity Threats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Banks are frequent targets of ransomware, phishing, and fraud attacks.</w:t>
            </w:r>
          </w:p>
          <w:p>
            <w:pPr>
              <w:pStyle w:val="normal1"/>
              <w:keepNext w:val="false"/>
              <w:keepLines w:val="false"/>
              <w:widowControl/>
              <w:pBdr/>
              <w:shd w:val="clear" w:fill="auto"/>
              <w:spacing w:lineRule="auto" w:line="276" w:before="240" w:after="240"/>
              <w:ind w:hanging="0" w:start="0" w:end="0"/>
              <w:jc w:val="start"/>
              <w:rPr>
                <w:rFonts w:ascii="Times New Roman" w:hAnsi="Times New Roman" w:eastAsia="Times New Roman" w:cs="Times New Roman"/>
                <w:color w:val="000000"/>
                <w:sz w:val="24"/>
                <w:szCs w:val="24"/>
              </w:rPr>
            </w:pPr>
            <w:r>
              <w:rPr>
                <w:rFonts w:eastAsia="Times New Roman" w:cs="Times New Roman" w:ascii="Times New Roman" w:hAnsi="Times New Roman"/>
                <w:b/>
                <w:bCs/>
                <w:sz w:val="24"/>
                <w:szCs w:val="24"/>
              </w:rPr>
              <w:t>3. Fintech Competition</w:t>
            </w:r>
          </w:p>
          <w:p>
            <w:pPr>
              <w:pStyle w:val="normal1"/>
              <w:keepNext w:val="false"/>
              <w:keepLines w:val="false"/>
              <w:widowControl/>
              <w:pBdr/>
              <w:shd w:val="clear" w:fill="auto"/>
              <w:spacing w:lineRule="auto" w:line="276" w:before="240" w:after="240"/>
              <w:ind w:hanging="0" w:start="0" w:end="0"/>
              <w:jc w:val="start"/>
              <w:rPr/>
            </w:pPr>
            <w:r>
              <w:rPr>
                <w:rFonts w:eastAsia="Times New Roman" w:cs="Times New Roman" w:ascii="Times New Roman" w:hAnsi="Times New Roman"/>
                <w:sz w:val="24"/>
                <w:szCs w:val="24"/>
              </w:rPr>
              <w:t>Fintech firms offer faster and cheaper digital financial services.</w:t>
            </w:r>
          </w:p>
          <w:p>
            <w:pPr>
              <w:pStyle w:val="normal1"/>
              <w:rPr/>
            </w:pPr>
            <w:r>
              <w:rPr/>
            </w:r>
          </w:p>
        </w:tc>
      </w:tr>
    </w:tbl>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keepNext w:val="false"/>
        <w:keepLines w:val="false"/>
        <w:spacing w:lineRule="auto" w:line="240" w:before="480" w:after="120"/>
        <w:jc w:val="center"/>
        <w:rPr>
          <w:rFonts w:ascii="Times New Roman" w:hAnsi="Times New Roman" w:eastAsia="Times New Roman" w:cs="Times New Roman"/>
          <w:b/>
          <w:bCs/>
          <w:sz w:val="24"/>
          <w:szCs w:val="24"/>
        </w:rPr>
      </w:pPr>
      <w:bookmarkStart w:id="8" w:name="_vt5trknsfsmb"/>
      <w:bookmarkEnd w:id="8"/>
      <w:r>
        <w:rPr>
          <w:rFonts w:eastAsia="Times New Roman" w:cs="Times New Roman" w:ascii="Times New Roman" w:hAnsi="Times New Roman"/>
          <w:b/>
          <w:bCs/>
          <w:sz w:val="24"/>
          <w:szCs w:val="24"/>
        </w:rPr>
        <w:t>Preliminary Risk Assessment and Treatment</w:t>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bl>
      <w:tblPr>
        <w:tblStyle w:val="Table6"/>
        <w:tblW w:w="9026" w:type="dxa"/>
        <w:jc w:val="start"/>
        <w:tblInd w:w="0" w:type="dxa"/>
        <w:tblLayout w:type="fixed"/>
        <w:tblCellMar>
          <w:top w:w="100" w:type="dxa"/>
          <w:start w:w="100" w:type="dxa"/>
          <w:bottom w:w="100" w:type="dxa"/>
          <w:end w:w="100" w:type="dxa"/>
        </w:tblCellMar>
        <w:tblLook w:val="0600"/>
      </w:tblPr>
      <w:tblGrid>
        <w:gridCol w:w="1815"/>
        <w:gridCol w:w="2238"/>
        <w:gridCol w:w="1928"/>
        <w:gridCol w:w="3045"/>
      </w:tblGrid>
      <w:tr>
        <w:trPr>
          <w:trHeight w:val="544"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Risk</w:t>
            </w:r>
          </w:p>
        </w:tc>
        <w:tc>
          <w:tcPr>
            <w:tcW w:w="2238" w:type="dxa"/>
            <w:tcBorders>
              <w:top w:val="single" w:sz="6" w:space="0" w:color="000000"/>
              <w:start w:val="single" w:sz="6" w:space="0" w:color="000000"/>
              <w:bottom w:val="single" w:sz="6" w:space="0" w:color="000000"/>
              <w:end w:val="single" w:sz="6" w:space="0" w:color="000000"/>
            </w:tcBorders>
          </w:tcPr>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Contributing Factors</w:t>
            </w:r>
          </w:p>
        </w:tc>
        <w:tc>
          <w:tcPr>
            <w:tcW w:w="1928" w:type="dxa"/>
            <w:tcBorders>
              <w:top w:val="single" w:sz="6" w:space="0" w:color="000000"/>
              <w:start w:val="single" w:sz="6" w:space="0" w:color="000000"/>
              <w:bottom w:val="single" w:sz="6" w:space="0" w:color="000000"/>
              <w:end w:val="single" w:sz="6" w:space="0" w:color="000000"/>
            </w:tcBorders>
          </w:tcPr>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Potential Impact</w:t>
            </w:r>
          </w:p>
        </w:tc>
        <w:tc>
          <w:tcPr>
            <w:tcW w:w="3045" w:type="dxa"/>
            <w:tcBorders>
              <w:top w:val="single" w:sz="6" w:space="0" w:color="000000"/>
              <w:start w:val="single" w:sz="6" w:space="0" w:color="000000"/>
              <w:bottom w:val="single" w:sz="6" w:space="0" w:color="000000"/>
              <w:end w:val="single" w:sz="6" w:space="0" w:color="000000"/>
            </w:tcBorders>
          </w:tcPr>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Existing Controls</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Credit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recession, unemployment</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increased defaults</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stricter credit approval</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Liquidity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deposit withdrawals</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reduced liquidity</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reserve capital and liquidity buffer</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Cybersecurity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digital banking growth</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data breach</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cybersecurity monitoring</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Compliance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changing regulations</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fines and penalties</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internal audit and compliance reviews</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Operational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system outage</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service interruption</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business continuity planning</w:t>
            </w:r>
          </w:p>
        </w:tc>
      </w:tr>
      <w:tr>
        <w:trPr>
          <w:trHeight w:val="785" w:hRule="atLeast"/>
        </w:trPr>
        <w:tc>
          <w:tcPr>
            <w:tcW w:w="181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Reputational Risk</w:t>
            </w:r>
          </w:p>
        </w:tc>
        <w:tc>
          <w:tcPr>
            <w:tcW w:w="223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media criticism</w:t>
            </w:r>
          </w:p>
        </w:tc>
        <w:tc>
          <w:tcPr>
            <w:tcW w:w="1928"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customer trust decline</w:t>
            </w:r>
          </w:p>
        </w:tc>
        <w:tc>
          <w:tcPr>
            <w:tcW w:w="3045" w:type="dxa"/>
            <w:tcBorders>
              <w:top w:val="single" w:sz="6" w:space="0" w:color="000000"/>
              <w:start w:val="single" w:sz="6" w:space="0" w:color="000000"/>
              <w:bottom w:val="single" w:sz="6" w:space="0" w:color="000000"/>
              <w:end w:val="single" w:sz="6" w:space="0" w:color="000000"/>
            </w:tcBorders>
          </w:tcPr>
          <w:p>
            <w:pPr>
              <w:pStyle w:val="normal1"/>
              <w:keepNext w:val="false"/>
              <w:keepLines w:val="false"/>
              <w:widowControl/>
              <w:pBdr/>
              <w:shd w:val="clear" w:fill="auto"/>
              <w:spacing w:lineRule="auto" w:line="276" w:before="240" w:after="240"/>
              <w:ind w:hanging="0" w:start="0" w:end="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communication management</w:t>
            </w:r>
          </w:p>
        </w:tc>
      </w:tr>
    </w:tbl>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Technical Risk and Information Security Risk </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Because TD Bank depends heavily on digital banking platforms, technology risk is a major ERM consideration.</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Key risks include:</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Technical Risks</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IT infrastructure failure</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software integration failure</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transaction processing interruption</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cloud service disruption</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Information Security Risks</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phishing attacks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ransomware</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customer data breaches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unauthorized account access</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identity theft</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fraud attacks</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Mitigation controls include:</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multi-factor authentication</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encryption</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security monitoring</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regular vulnerability testing</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disaster recovery planning</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employee cybersecurity awareness training</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p>
    <w:p>
      <w:pPr>
        <w:pStyle w:val="normal1"/>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b/>
          <w:bCs/>
          <w:sz w:val="24"/>
          <w:szCs w:val="24"/>
        </w:rPr>
      </w:r>
      <w:bookmarkStart w:id="9" w:name="_fqbth0ughiew"/>
      <w:bookmarkEnd w:id="9"/>
    </w:p>
    <w:p>
      <w:pPr>
        <w:pStyle w:val="Heading1"/>
        <w:keepNext w:val="false"/>
        <w:keepLines w:val="false"/>
        <w:spacing w:lineRule="auto" w:line="240" w:before="480" w:after="120"/>
        <w:jc w:val="center"/>
        <w:rPr>
          <w:b/>
          <w:bCs/>
          <w:sz w:val="46"/>
          <w:szCs w:val="46"/>
        </w:rPr>
      </w:pPr>
      <w:bookmarkStart w:id="10" w:name="_4vwy0tvqa7qk"/>
      <w:bookmarkEnd w:id="10"/>
      <w:r>
        <w:rPr>
          <w:rFonts w:eastAsia="Times New Roman" w:cs="Times New Roman" w:ascii="Times New Roman" w:hAnsi="Times New Roman"/>
          <w:b/>
          <w:bCs/>
          <w:sz w:val="24"/>
          <w:szCs w:val="24"/>
        </w:rPr>
        <w:t>Conclusion</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This report evaluated TD Bank’s enterprise risks while operating during economic turbulence using Enterprise Risk Management principles.</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Using KRIs, brainstorming, SWOT analysis, and preliminary risk assessment, several critical risks were identified, including:</w:t>
      </w:r>
    </w:p>
    <w:p>
      <w:pPr>
        <w:pStyle w:val="normal1"/>
        <w:keepNext w:val="false"/>
        <w:keepLines w:val="false"/>
        <w:pageBreakBefore w:val="false"/>
        <w:widowControl/>
        <w:numPr>
          <w:ilvl w:val="0"/>
          <w:numId w:val="1"/>
        </w:numPr>
        <w:pBdr/>
        <w:shd w:val="clear" w:fill="auto"/>
        <w:spacing w:lineRule="auto" w:line="276" w:before="24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credit risk</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liquidity risk</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operational risk</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cybersecurity risk</w:t>
      </w:r>
    </w:p>
    <w:p>
      <w:pPr>
        <w:pStyle w:val="normal1"/>
        <w:keepNext w:val="false"/>
        <w:keepLines w:val="false"/>
        <w:pageBreakBefore w:val="false"/>
        <w:widowControl/>
        <w:numPr>
          <w:ilvl w:val="0"/>
          <w:numId w:val="1"/>
        </w:numPr>
        <w:pBdr/>
        <w:shd w:val="clear" w:fill="auto"/>
        <w:spacing w:lineRule="auto" w:line="276" w:beforeAutospacing="0" w:before="0" w:afterAutospacing="0" w:after="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compliance risk</w:t>
      </w:r>
    </w:p>
    <w:p>
      <w:pPr>
        <w:pStyle w:val="normal1"/>
        <w:keepNext w:val="false"/>
        <w:keepLines w:val="false"/>
        <w:pageBreakBefore w:val="false"/>
        <w:widowControl/>
        <w:numPr>
          <w:ilvl w:val="0"/>
          <w:numId w:val="1"/>
        </w:numPr>
        <w:pBdr/>
        <w:shd w:val="clear" w:fill="auto"/>
        <w:spacing w:lineRule="auto" w:line="276" w:beforeAutospacing="0" w:before="0" w:after="240"/>
        <w:ind w:hanging="360" w:start="72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reputational risk</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Economic uncertainty increases pressure on the banking sector, making proactive risk management essential.</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TD Bank can strengthen resilience by continuously monitoring KRIs, improving internal controls, investing in digital security, and maintaining effective risk governance.</w:t>
      </w:r>
    </w:p>
    <w:p>
      <w:pPr>
        <w:pStyle w:val="normal1"/>
        <w:keepNext w:val="false"/>
        <w:keepLines w:val="false"/>
        <w:pageBreakBefore w:val="false"/>
        <w:widowControl/>
        <w:pBdr/>
        <w:shd w:val="clear" w:fill="auto"/>
        <w:spacing w:lineRule="auto" w:line="276" w:before="240" w:after="240"/>
        <w:ind w:hanging="0" w:start="0" w:end="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A strong ERM framework allows TD Bank to respond quickly to emerging threats while protecting customers, maintaining compliance, and supporting long-term business sustainability.</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default"/>
    <w:embedRegular r:id="rId1" w:fontKey="{01014A78-CABC-4EF0-12AC-5CD89AEFDE01}"/>
  </w:font>
  <w:font w:name="Wingdings 2">
    <w:charset w:val="02"/>
    <w:family w:val="auto"/>
    <w:pitch w:val="default"/>
    <w:embedRegular r:id="rId2" w:fontKey="{02014A78-CABC-4EF0-12AC-5CD89AEFDE02}"/>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9</Pages>
  <Words>916</Words>
  <Characters>5977</Characters>
  <CharactersWithSpaces>6671</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2026-05-26T10:58:26Z</dcterms:modified>
  <cp:revision>2</cp:revision>
  <dc:subject/>
  <dc:title/>
</cp:coreProperties>
</file>