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The Data Practice</w:t>
      </w:r>
    </w:p>
    <w:p>
      <w:pPr>
        <w:spacing w:after="160"/>
      </w:pPr>
      <w:r>
        <w:rPr>
          <w:b/>
          <w:bCs/>
          <w:sz w:val="26"/>
          <w:szCs w:val="26"/>
        </w:rPr>
        <w:t xml:space="preserve">Channel Strategy, Content Plan and Production Guide</w:t>
      </w:r>
    </w:p>
    <w:p>
      <w:pPr>
        <w:spacing w:after="160"/>
      </w:pPr>
      <w:r>
        <w:rPr>
          <w:i/>
          <w:iCs/>
          <w:color w:val="777777"/>
          <w:sz w:val="20"/>
          <w:szCs w:val="20"/>
        </w:rPr>
        <w:t xml:space="preserve">Owner: Aji Saine · Tagline: Where data theory meets real-world practice · Version 2.0 — July 2026</w:t>
      </w:r>
    </w:p>
    <w:p>
      <w:pPr>
        <w:pStyle w:val="Heading1"/>
        <w:spacing w:after="180" w:before="360"/>
      </w:pPr>
      <w:r>
        <w:t xml:space="preserve">1. Mission and Positioning</w:t>
      </w:r>
    </w:p>
    <w:p>
      <w:pPr>
        <w:spacing w:after="160"/>
      </w:pPr>
      <w:r>
        <w:t xml:space="preserve">The Data Practice educates people across the full data space — data management, governance, quality, analytics, tools, careers and the realities of working with data — so they can become great data professionals. The channel is built on the presenter's own knowledge and experience, not on any single book or framework. The long-term ambition is explicit: to become a recognised authority in the data space.</w:t>
      </w:r>
    </w:p>
    <w:p>
      <w:pPr>
        <w:spacing w:after="160"/>
      </w:pPr>
      <w:r>
        <w:rPr>
          <w:b/>
          <w:bCs/>
        </w:rPr>
        <w:t xml:space="preserve">The one-sentence positioning: </w:t>
      </w:r>
      <w:r>
        <w:t xml:space="preserve">The channel sells becoming the kind of professional who is trusted with data — and the product is the presenter's lived experience, translated into plain English for people who need it.</w:t>
      </w:r>
    </w:p>
    <w:p>
      <w:pPr>
        <w:spacing w:after="160"/>
      </w:pPr>
      <w:r>
        <w:rPr>
          <w:b/>
          <w:bCs/>
        </w:rPr>
        <w:t xml:space="preserve">The authority model: </w:t>
      </w:r>
      <w:r>
        <w:t xml:space="preserve">Authority is built the way the best educator-creators build it: a credentialled practitioner, teaching consistently, in psychologically-packaged frameworks, with real stories carrying the theory. Established references such as the DAMA-DMBOK are drawn on where useful and cited on camera as supporting authority — but they are sources the channel quotes, never the identity of the channel. The identity is the presenter.</w:t>
      </w:r>
    </w:p>
    <w:p>
      <w:pPr>
        <w:spacing w:after="160"/>
      </w:pPr>
      <w:r>
        <w:t xml:space="preserve">Presenter credibility is the channel's main strategic asset: 12+ years spanning software development, clinical and health data management covering over 285,000 people across research sites in West Africa, statutory data reporting for a UK university where submitted data determines funding and regulation, leading a team's transition from Access to SQL Server, and building reporting dashboards used across an institution. Few data educators on YouTube can speak first-hand across development, health data, governance, statutory reporting and team leadership — that breadth is the moat.</w:t>
      </w:r>
    </w:p>
    <w:p>
      <w:pPr>
        <w:pStyle w:val="Heading1"/>
        <w:spacing w:after="180" w:before="360"/>
      </w:pPr>
      <w:r>
        <w:t xml:space="preserve">2. Goals</w:t>
      </w:r>
    </w:p>
    <w:p>
      <w:pPr>
        <w:spacing w:after="160"/>
      </w:pPr>
      <w:r>
        <w:rPr>
          <w:b/>
          <w:bCs/>
        </w:rPr>
        <w:t xml:space="preserve">Primary goal (year one): </w:t>
      </w:r>
      <w:r>
        <w:t xml:space="preserve">Build a consistent weekly publishing habit and an engaged initial audience, establishing the channel as a trusted plain-English voice across the data space. Consistency is the goal; subscriber counts are the by-product. The reference benchmark: successful channels in adjacent niches took roughly a year of consistent posting before growth compounded.</w:t>
      </w:r>
    </w:p>
    <w:p>
      <w:pPr>
        <w:spacing w:after="160"/>
      </w:pPr>
      <w:r>
        <w:rPr>
          <w:b/>
          <w:bCs/>
        </w:rPr>
        <w:t xml:space="preserve">Authority goals (years one to three): </w:t>
      </w:r>
      <w:r>
        <w:t xml:space="preserve">Become the name people in the UK/US data community recommend for practical data education; build a body of work that demonstrates range across management, governance, analytics and careers; and convert visibility into professional opportunities — speaking, consulting, mentoring, and eventually products (courses, templates, community). Products are not pursued until the library and audience exist.</w:t>
      </w:r>
    </w:p>
    <w:p>
      <w:pPr>
        <w:spacing w:after="160"/>
      </w:pPr>
      <w:r>
        <w:rPr>
          <w:b/>
          <w:bCs/>
        </w:rPr>
        <w:t xml:space="preserve">What success looks like at 12 months: </w:t>
      </w:r>
      <w:r>
        <w:t xml:space="preserve">An unbroken weekly publishing record, the launch roadmap completed, at least two videos ranking in YouTube search for their target phrases, a visible analytics pattern showing which pillars retain viewers best, and early signals of authority — comments asking for advice, shares within workplaces, inbound connections.</w:t>
      </w:r>
    </w:p>
    <w:p>
      <w:pPr>
        <w:pStyle w:val="Heading1"/>
        <w:spacing w:after="180" w:before="360"/>
      </w:pPr>
      <w:r>
        <w:t xml:space="preserve">3. Audience and Niche</w:t>
      </w:r>
    </w:p>
    <w:p>
      <w:pPr>
        <w:spacing w:after="160"/>
      </w:pPr>
      <w:r>
        <w:t xml:space="preserve">The niche is the whole working life of a data professional — deliberately broader than the crowded tutorial channels that teach only tools, and deliberately more practical than academic content. The channel's distinctive territory is the intersection the presenter actually occupies: where technical skills, management discipline, governance, and workplace reality meet. Very few channels own that intersection with a consistent human face.</w:t>
      </w:r>
    </w:p>
    <w:p>
      <w:pPr>
        <w:spacing w:after="160"/>
      </w:pPr>
      <w:r>
        <w:rPr>
          <w:b/>
          <w:bCs/>
        </w:rPr>
        <w:t xml:space="preserve">Audience segment one — working professionals (the problem-holders): </w:t>
      </w:r>
      <w:r>
        <w:t xml:space="preserve">Managers, analysts, developers and administrators aged roughly 25–44 in the UK and US who feel data pain at work: untrusted reports, duplicate records, compliance anxiety, spreadsheet chaos, dashboards nobody uses. They search for problems, not disciplines. They are reached through problem-led titles.</w:t>
      </w:r>
    </w:p>
    <w:p>
      <w:pPr>
        <w:spacing w:after="160"/>
      </w:pPr>
      <w:r>
        <w:rPr>
          <w:b/>
          <w:bCs/>
        </w:rPr>
        <w:t xml:space="preserve">Audience segment two — aspiring data professionals (the career-builders): </w:t>
      </w:r>
      <w:r>
        <w:t xml:space="preserve">People entering or pivoting into data careers — students, career-changers, junior analysts, and certification candidates. Data roles remain among the fastest-growing careers in both markets, and governance skills increasingly appear in analyst job requirements. They search for careers, definitions, skills and certifications: 'what is data management', 'how to become a data analyst', 'is CDMP worth it', 'SQL for beginners'. They are reached through evergreen search titles and career content.</w:t>
      </w:r>
    </w:p>
    <w:p>
      <w:pPr>
        <w:spacing w:after="160"/>
      </w:pPr>
      <w:r>
        <w:t xml:space="preserve">Both segments are served by the same channel: problem-led packaging attracts segment one, keyword-led titles and career content catch segment two, and the presenter's experience-led teaching serves both.</w:t>
      </w:r>
    </w:p>
    <w:p>
      <w:pPr>
        <w:pStyle w:val="Heading1"/>
        <w:spacing w:after="180" w:before="360"/>
      </w:pPr>
      <w:r>
        <w:t xml:space="preserve">4. Content Strategy</w:t>
      </w:r>
    </w:p>
    <w:p>
      <w:pPr>
        <w:pStyle w:val="Heading2"/>
        <w:spacing w:after="140" w:before="280"/>
      </w:pPr>
      <w:r>
        <w:t xml:space="preserve">4.1 The five knowledge pillars</w:t>
      </w:r>
    </w:p>
    <w:p>
      <w:pPr>
        <w:spacing w:after="160"/>
      </w:pPr>
      <w:r>
        <w:t xml:space="preserve">The channel's scope is organised into five recurring pillars, which together cover everything a data professional needs. Pillar one — data management and governance foundations: what the discipline is, quality, metadata, master data, ownership, ethics, GDPR and compliance. Pillar two — analytics and business intelligence: reporting, dashboards, turning data into decisions, and the analyst's craft. Pillar three — tools and technical skills: SQL, databases versus spreadsheets, Power BI, and the practical technology choices data teams face. Pillar four — careers and professional growth: paths, salaries, certifications, skills that get people hired, and career-change stories. Pillar five — real-world practice: day-in-the-life content, war stories, team leadership, and how data work actually happens inside organisations. Every video belongs to a pillar; playlists mirror the pillars so the channel page itself teaches the scope.</w:t>
      </w:r>
    </w:p>
    <w:p>
      <w:pPr>
        <w:spacing w:after="160"/>
      </w:pPr>
      <w:r>
        <w:t xml:space="preserve">Structured series remain valuable within pillars — for example, a foundations series that certification candidates can follow — and reference works like the DMBOK are cited inside such videos as supporting authority. But no series defines the channel, and no video is packaged around a book or chapter.</w:t>
      </w:r>
    </w:p>
    <w:p>
      <w:pPr>
        <w:pStyle w:val="Heading2"/>
        <w:spacing w:after="140" w:before="280"/>
      </w:pPr>
      <w:r>
        <w:t xml:space="preserve">4.2 Packaging rules (titles, thumbnails, SEO)</w:t>
      </w:r>
    </w:p>
    <w:p>
      <w:pPr>
        <w:spacing w:after="160"/>
      </w:pPr>
      <w:r>
        <w:rPr>
          <w:b/>
          <w:bCs/>
        </w:rPr>
        <w:t xml:space="preserve">Titles: </w:t>
      </w:r>
      <w:r>
        <w:t xml:space="preserve">Hybrid format — a searchable keyword phrase first, a curiosity hook second. Example: 'What Is Data Management? The $3 Trillion Problem Nobody in Your Company Owns'. Early traffic comes from search, so every title must contain a phrase someone actually types; pure-curiosity titles are earned later, when the channel receives suggested-feed traffic.</w:t>
      </w:r>
    </w:p>
    <w:p>
      <w:pPr>
        <w:spacing w:after="160"/>
      </w:pPr>
      <w:r>
        <w:rPr>
          <w:b/>
          <w:bCs/>
        </w:rPr>
        <w:t xml:space="preserve">Thumbnails: </w:t>
      </w:r>
      <w:r>
        <w:t xml:space="preserve">The thumbnail carries the emotion the title cannot: big short text ('$3 TRILLION PROBLEM', 'NOBODY OWNS IT'), the presenter's face as the consistent brand element, and consistent colours and typography from the existing brand assets.</w:t>
      </w:r>
    </w:p>
    <w:p>
      <w:pPr>
        <w:spacing w:after="160"/>
      </w:pPr>
      <w:r>
        <w:rPr>
          <w:b/>
          <w:bCs/>
        </w:rPr>
        <w:t xml:space="preserve">Descriptions and tags: </w:t>
      </w:r>
      <w:r>
        <w:t xml:space="preserve">Keywords that must not clutter titles live here — including certification and reference terms (CDMP, DMBOK, DAMA) for viewers who search them. Every description includes timestamps, a one-line channel pitch, and a link to the start-here video.</w:t>
      </w:r>
    </w:p>
    <w:p>
      <w:pPr>
        <w:pStyle w:val="Heading2"/>
        <w:spacing w:after="140" w:before="280"/>
      </w:pPr>
      <w:r>
        <w:t xml:space="preserve">4.3 Content mix</w:t>
      </w:r>
    </w:p>
    <w:p>
      <w:pPr>
        <w:spacing w:after="160"/>
      </w:pPr>
      <w:r>
        <w:t xml:space="preserve">Three recurring content types, deliberately spaced: identity videos (day-in-the-life, career journey, war stories — pillar five) that make viewers invest in the presenter; teaching videos (pillars one to three) packaged around felt problems; and search-intent videos (definitions, careers, certifications, skills) that act as evergreen entry points. Roughly every fifth or sixth video is an identity piece; the rest alternate between the other two types, rotating across pillars so the channel visibly covers the whole space rather than one corner of it.</w:t>
      </w:r>
    </w:p>
    <w:p>
      <w:pPr>
        <w:pStyle w:val="Heading2"/>
        <w:spacing w:after="140" w:before="280"/>
      </w:pPr>
      <w:r>
        <w:t xml:space="preserve">4.4 The launch roadmap</w:t>
      </w:r>
    </w:p>
    <w:p>
      <w:pPr>
        <w:spacing w:after="160"/>
      </w:pPr>
      <w:r>
        <w:t xml:space="preserve">The sequenced list below is the first phase. The ordering logic: broad-reach and identity videos first to build trust, framework and skills content once viewers have a reason to stay, deeper practitioner topics once a warm audience exists. Videos 1, 7 and 13 are the personal ones, spaced rather than clumped. The first ten avoid assuming the viewer already cares about any particular discipline; the rest reward the audience that has been built. The mix deliberately rotates pillars — foundations, careers, tools, analytics — so the channel's breadth is established early.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F5464"/>
            <w:tcMar>
              <w:top w:type="dxa" w:w="80"/>
              <w:left w:type="dxa" w:w="120"/>
              <w:bottom w:type="dxa" w:w="80"/>
              <w:right w:type="dxa" w:w="120"/>
            </w:tcMar>
          </w:tcPr>
          <w:p>
            <w:pPr>
              <w:spacing w:after="0"/>
            </w:pPr>
            <w:r>
              <w:rPr>
                <w:b/>
                <w:bCs/>
                <w:color w:val="FFFFFF"/>
                <w:sz w:val="20"/>
                <w:szCs w:val="20"/>
              </w:rPr>
              <w:t xml:space="preserve">#</w:t>
            </w:r>
          </w:p>
        </w:tc>
        <w:tc>
          <w:tcPr>
            <w:shd w:fill="2F5464"/>
            <w:tcMar>
              <w:top w:type="dxa" w:w="80"/>
              <w:left w:type="dxa" w:w="120"/>
              <w:bottom w:type="dxa" w:w="80"/>
              <w:right w:type="dxa" w:w="120"/>
            </w:tcMar>
          </w:tcPr>
          <w:p>
            <w:pPr>
              <w:spacing w:after="0"/>
            </w:pPr>
            <w:r>
              <w:rPr>
                <w:b/>
                <w:bCs/>
                <w:color w:val="FFFFFF"/>
                <w:sz w:val="20"/>
                <w:szCs w:val="20"/>
              </w:rPr>
              <w:t xml:space="preserve">Video</w:t>
            </w:r>
          </w:p>
        </w:tc>
        <w:tc>
          <w:tcPr>
            <w:shd w:fill="2F5464"/>
            <w:tcMar>
              <w:top w:type="dxa" w:w="80"/>
              <w:left w:type="dxa" w:w="120"/>
              <w:bottom w:type="dxa" w:w="80"/>
              <w:right w:type="dxa" w:w="120"/>
            </w:tcMar>
          </w:tcPr>
          <w:p>
            <w:pPr>
              <w:spacing w:after="0"/>
            </w:pPr>
            <w:r>
              <w:rPr>
                <w:b/>
                <w:bCs/>
                <w:color w:val="FFFFFF"/>
                <w:sz w:val="20"/>
                <w:szCs w:val="20"/>
              </w:rPr>
              <w:t xml:space="preserve">Pillar / purpose</w:t>
            </w:r>
          </w:p>
        </w:tc>
        <w:tc>
          <w:tcPr>
            <w:shd w:fill="2F5464"/>
            <w:tcMar>
              <w:top w:type="dxa" w:w="80"/>
              <w:left w:type="dxa" w:w="120"/>
              <w:bottom w:type="dxa" w:w="80"/>
              <w:right w:type="dxa" w:w="120"/>
            </w:tcMar>
          </w:tcPr>
          <w:p>
            <w:pPr>
              <w:spacing w:after="0"/>
            </w:pPr>
            <w:r>
              <w:rPr>
                <w:b/>
                <w:bCs/>
                <w:color w:val="FFFFFF"/>
                <w:sz w:val="20"/>
                <w:szCs w:val="20"/>
              </w:rPr>
              <w:t xml:space="preserve">Status / notes</w:t>
            </w:r>
          </w:p>
        </w:tc>
      </w:tr>
      <w:tr>
        <w:tc>
          <w:tcPr>
            <w:tcMar>
              <w:top w:type="dxa" w:w="80"/>
              <w:left w:type="dxa" w:w="120"/>
              <w:bottom w:type="dxa" w:w="80"/>
              <w:right w:type="dxa" w:w="120"/>
            </w:tcMar>
          </w:tcPr>
          <w:p>
            <w:pPr>
              <w:spacing w:after="0"/>
            </w:pPr>
            <w:r>
              <w:rPr>
                <w:sz w:val="20"/>
                <w:szCs w:val="20"/>
              </w:rPr>
              <w:t xml:space="preserve">1</w:t>
            </w:r>
          </w:p>
        </w:tc>
        <w:tc>
          <w:tcPr>
            <w:tcMar>
              <w:top w:type="dxa" w:w="80"/>
              <w:left w:type="dxa" w:w="120"/>
              <w:bottom w:type="dxa" w:w="80"/>
              <w:right w:type="dxa" w:w="120"/>
            </w:tcMar>
          </w:tcPr>
          <w:p>
            <w:pPr>
              <w:spacing w:after="0"/>
            </w:pPr>
            <w:r>
              <w:rPr>
                <w:sz w:val="20"/>
                <w:szCs w:val="20"/>
              </w:rPr>
              <w:t xml:space="preserve">What a Data Manager actually does all day</w:t>
            </w:r>
          </w:p>
        </w:tc>
        <w:tc>
          <w:tcPr>
            <w:tcMar>
              <w:top w:type="dxa" w:w="80"/>
              <w:left w:type="dxa" w:w="120"/>
              <w:bottom w:type="dxa" w:w="80"/>
              <w:right w:type="dxa" w:w="120"/>
            </w:tcMar>
          </w:tcPr>
          <w:p>
            <w:pPr>
              <w:spacing w:after="0"/>
            </w:pPr>
            <w:r>
              <w:rPr>
                <w:sz w:val="20"/>
                <w:szCs w:val="20"/>
              </w:rPr>
              <w:t xml:space="preserve">Identity / trust-building</w:t>
            </w:r>
          </w:p>
        </w:tc>
        <w:tc>
          <w:tcPr>
            <w:tcMar>
              <w:top w:type="dxa" w:w="80"/>
              <w:left w:type="dxa" w:w="120"/>
              <w:bottom w:type="dxa" w:w="80"/>
              <w:right w:type="dxa" w:w="120"/>
            </w:tcMar>
          </w:tcPr>
          <w:p>
            <w:pPr>
              <w:spacing w:after="0"/>
            </w:pPr>
            <w:r>
              <w:rPr>
                <w:sz w:val="20"/>
                <w:szCs w:val="20"/>
              </w:rPr>
              <w:t xml:space="preserve">New — day-in-the-life at the university</w:t>
            </w:r>
          </w:p>
        </w:tc>
      </w:tr>
      <w:tr>
        <w:tc>
          <w:tcPr>
            <w:tcMar>
              <w:top w:type="dxa" w:w="80"/>
              <w:left w:type="dxa" w:w="120"/>
              <w:bottom w:type="dxa" w:w="80"/>
              <w:right w:type="dxa" w:w="120"/>
            </w:tcMar>
          </w:tcPr>
          <w:p>
            <w:pPr>
              <w:spacing w:after="0"/>
            </w:pPr>
            <w:r>
              <w:rPr>
                <w:sz w:val="20"/>
                <w:szCs w:val="20"/>
              </w:rPr>
              <w:t xml:space="preserve">2</w:t>
            </w:r>
          </w:p>
        </w:tc>
        <w:tc>
          <w:tcPr>
            <w:tcMar>
              <w:top w:type="dxa" w:w="80"/>
              <w:left w:type="dxa" w:w="120"/>
              <w:bottom w:type="dxa" w:w="80"/>
              <w:right w:type="dxa" w:w="120"/>
            </w:tcMar>
          </w:tcPr>
          <w:p>
            <w:pPr>
              <w:spacing w:after="0"/>
            </w:pPr>
            <w:r>
              <w:rPr>
                <w:sz w:val="20"/>
                <w:szCs w:val="20"/>
              </w:rPr>
              <w:t xml:space="preserve">What Is Data Management? The $3 Trillion Problem Nobody in Your Company Owns</w:t>
            </w:r>
          </w:p>
        </w:tc>
        <w:tc>
          <w:tcPr>
            <w:tcMar>
              <w:top w:type="dxa" w:w="80"/>
              <w:left w:type="dxa" w:w="120"/>
              <w:bottom w:type="dxa" w:w="80"/>
              <w:right w:type="dxa" w:w="120"/>
            </w:tcMar>
          </w:tcPr>
          <w:p>
            <w:pPr>
              <w:spacing w:after="0"/>
            </w:pPr>
            <w:r>
              <w:rPr>
                <w:sz w:val="20"/>
                <w:szCs w:val="20"/>
              </w:rPr>
              <w:t xml:space="preserve">Search flagship / start here</w:t>
            </w:r>
          </w:p>
        </w:tc>
        <w:tc>
          <w:tcPr>
            <w:tcMar>
              <w:top w:type="dxa" w:w="80"/>
              <w:left w:type="dxa" w:w="120"/>
              <w:bottom w:type="dxa" w:w="80"/>
              <w:right w:type="dxa" w:w="120"/>
            </w:tcMar>
          </w:tcPr>
          <w:p>
            <w:pPr>
              <w:spacing w:after="0"/>
            </w:pPr>
            <w:r>
              <w:rPr>
                <w:sz w:val="20"/>
                <w:szCs w:val="20"/>
              </w:rPr>
              <w:t xml:space="preserve">Produced — script final</w:t>
            </w:r>
          </w:p>
        </w:tc>
      </w:tr>
      <w:tr>
        <w:tc>
          <w:tcPr>
            <w:tcMar>
              <w:top w:type="dxa" w:w="80"/>
              <w:left w:type="dxa" w:w="120"/>
              <w:bottom w:type="dxa" w:w="80"/>
              <w:right w:type="dxa" w:w="120"/>
            </w:tcMar>
          </w:tcPr>
          <w:p>
            <w:pPr>
              <w:spacing w:after="0"/>
            </w:pPr>
            <w:r>
              <w:rPr>
                <w:sz w:val="20"/>
                <w:szCs w:val="20"/>
              </w:rPr>
              <w:t xml:space="preserve">3</w:t>
            </w:r>
          </w:p>
        </w:tc>
        <w:tc>
          <w:tcPr>
            <w:tcMar>
              <w:top w:type="dxa" w:w="80"/>
              <w:left w:type="dxa" w:w="120"/>
              <w:bottom w:type="dxa" w:w="80"/>
              <w:right w:type="dxa" w:w="120"/>
            </w:tcMar>
          </w:tcPr>
          <w:p>
            <w:pPr>
              <w:spacing w:after="0"/>
            </w:pPr>
            <w:r>
              <w:rPr>
                <w:sz w:val="20"/>
                <w:szCs w:val="20"/>
              </w:rPr>
              <w:t xml:space="preserve">The data mistake that gets companies fined millions</w:t>
            </w:r>
          </w:p>
        </w:tc>
        <w:tc>
          <w:tcPr>
            <w:tcMar>
              <w:top w:type="dxa" w:w="80"/>
              <w:left w:type="dxa" w:w="120"/>
              <w:bottom w:type="dxa" w:w="80"/>
              <w:right w:type="dxa" w:w="120"/>
            </w:tcMar>
          </w:tcPr>
          <w:p>
            <w:pPr>
              <w:spacing w:after="0"/>
            </w:pPr>
            <w:r>
              <w:rPr>
                <w:sz w:val="20"/>
                <w:szCs w:val="20"/>
              </w:rPr>
              <w:t xml:space="preserve">Foundations (ethics &amp; GDPR)</w:t>
            </w:r>
          </w:p>
        </w:tc>
        <w:tc>
          <w:tcPr>
            <w:tcMar>
              <w:top w:type="dxa" w:w="80"/>
              <w:left w:type="dxa" w:w="120"/>
              <w:bottom w:type="dxa" w:w="80"/>
              <w:right w:type="dxa" w:w="120"/>
            </w:tcMar>
          </w:tcPr>
          <w:p>
            <w:pPr>
              <w:spacing w:after="0"/>
            </w:pPr>
            <w:r>
              <w:rPr>
                <w:sz w:val="20"/>
                <w:szCs w:val="20"/>
              </w:rPr>
              <w:t xml:space="preserve">Script drafted — retitle and re-hook</w:t>
            </w:r>
          </w:p>
        </w:tc>
      </w:tr>
      <w:tr>
        <w:tc>
          <w:tcPr>
            <w:tcMar>
              <w:top w:type="dxa" w:w="80"/>
              <w:left w:type="dxa" w:w="120"/>
              <w:bottom w:type="dxa" w:w="80"/>
              <w:right w:type="dxa" w:w="120"/>
            </w:tcMar>
          </w:tcPr>
          <w:p>
            <w:pPr>
              <w:spacing w:after="0"/>
            </w:pPr>
            <w:r>
              <w:rPr>
                <w:sz w:val="20"/>
                <w:szCs w:val="20"/>
              </w:rPr>
              <w:t xml:space="preserve">4</w:t>
            </w:r>
          </w:p>
        </w:tc>
        <w:tc>
          <w:tcPr>
            <w:tcMar>
              <w:top w:type="dxa" w:w="80"/>
              <w:left w:type="dxa" w:w="120"/>
              <w:bottom w:type="dxa" w:w="80"/>
              <w:right w:type="dxa" w:w="120"/>
            </w:tcMar>
          </w:tcPr>
          <w:p>
            <w:pPr>
              <w:spacing w:after="0"/>
            </w:pPr>
            <w:r>
              <w:rPr>
                <w:sz w:val="20"/>
                <w:szCs w:val="20"/>
              </w:rPr>
              <w:t xml:space="preserve">Why nobody trusts your reports (and how to fix it)</w:t>
            </w:r>
          </w:p>
        </w:tc>
        <w:tc>
          <w:tcPr>
            <w:tcMar>
              <w:top w:type="dxa" w:w="80"/>
              <w:left w:type="dxa" w:w="120"/>
              <w:bottom w:type="dxa" w:w="80"/>
              <w:right w:type="dxa" w:w="120"/>
            </w:tcMar>
          </w:tcPr>
          <w:p>
            <w:pPr>
              <w:spacing w:after="0"/>
            </w:pPr>
            <w:r>
              <w:rPr>
                <w:sz w:val="20"/>
                <w:szCs w:val="20"/>
              </w:rPr>
              <w:t xml:space="preserve">Foundations (data quality)</w:t>
            </w:r>
          </w:p>
        </w:tc>
        <w:tc>
          <w:tcPr>
            <w:tcMar>
              <w:top w:type="dxa" w:w="80"/>
              <w:left w:type="dxa" w:w="120"/>
              <w:bottom w:type="dxa" w:w="80"/>
              <w:right w:type="dxa" w:w="120"/>
            </w:tcMar>
          </w:tcPr>
          <w:p>
            <w:pPr>
              <w:spacing w:after="0"/>
            </w:pPr>
            <w:r>
              <w:rPr>
                <w:sz w:val="20"/>
                <w:szCs w:val="20"/>
              </w:rPr>
              <w:t xml:space="preserve">New</w:t>
            </w:r>
          </w:p>
        </w:tc>
      </w:tr>
      <w:tr>
        <w:tc>
          <w:tcPr>
            <w:tcMar>
              <w:top w:type="dxa" w:w="80"/>
              <w:left w:type="dxa" w:w="120"/>
              <w:bottom w:type="dxa" w:w="80"/>
              <w:right w:type="dxa" w:w="120"/>
            </w:tcMar>
          </w:tcPr>
          <w:p>
            <w:pPr>
              <w:spacing w:after="0"/>
            </w:pPr>
            <w:r>
              <w:rPr>
                <w:sz w:val="20"/>
                <w:szCs w:val="20"/>
              </w:rPr>
              <w:t xml:space="preserve">5</w:t>
            </w:r>
          </w:p>
        </w:tc>
        <w:tc>
          <w:tcPr>
            <w:tcMar>
              <w:top w:type="dxa" w:w="80"/>
              <w:left w:type="dxa" w:w="120"/>
              <w:bottom w:type="dxa" w:w="80"/>
              <w:right w:type="dxa" w:w="120"/>
            </w:tcMar>
          </w:tcPr>
          <w:p>
            <w:pPr>
              <w:spacing w:after="0"/>
            </w:pPr>
            <w:r>
              <w:rPr>
                <w:sz w:val="20"/>
                <w:szCs w:val="20"/>
              </w:rPr>
              <w:t xml:space="preserve">Data governance explained like you're new to it</w:t>
            </w:r>
          </w:p>
        </w:tc>
        <w:tc>
          <w:tcPr>
            <w:tcMar>
              <w:top w:type="dxa" w:w="80"/>
              <w:left w:type="dxa" w:w="120"/>
              <w:bottom w:type="dxa" w:w="80"/>
              <w:right w:type="dxa" w:w="120"/>
            </w:tcMar>
          </w:tcPr>
          <w:p>
            <w:pPr>
              <w:spacing w:after="0"/>
            </w:pPr>
            <w:r>
              <w:rPr>
                <w:sz w:val="20"/>
                <w:szCs w:val="20"/>
              </w:rPr>
              <w:t xml:space="preserve">Evergreen search</w:t>
            </w:r>
          </w:p>
        </w:tc>
        <w:tc>
          <w:tcPr>
            <w:tcMar>
              <w:top w:type="dxa" w:w="80"/>
              <w:left w:type="dxa" w:w="120"/>
              <w:bottom w:type="dxa" w:w="80"/>
              <w:right w:type="dxa" w:w="120"/>
            </w:tcMar>
          </w:tcPr>
          <w:p>
            <w:pPr>
              <w:spacing w:after="0"/>
            </w:pPr>
            <w:r>
              <w:rPr>
                <w:sz w:val="20"/>
                <w:szCs w:val="20"/>
              </w:rPr>
              <w:t xml:space="preserve">New</w:t>
            </w:r>
          </w:p>
        </w:tc>
      </w:tr>
      <w:tr>
        <w:tc>
          <w:tcPr>
            <w:tcMar>
              <w:top w:type="dxa" w:w="80"/>
              <w:left w:type="dxa" w:w="120"/>
              <w:bottom w:type="dxa" w:w="80"/>
              <w:right w:type="dxa" w:w="120"/>
            </w:tcMar>
          </w:tcPr>
          <w:p>
            <w:pPr>
              <w:spacing w:after="0"/>
            </w:pPr>
            <w:r>
              <w:rPr>
                <w:sz w:val="20"/>
                <w:szCs w:val="20"/>
              </w:rPr>
              <w:t xml:space="preserve">6</w:t>
            </w:r>
          </w:p>
        </w:tc>
        <w:tc>
          <w:tcPr>
            <w:tcMar>
              <w:top w:type="dxa" w:w="80"/>
              <w:left w:type="dxa" w:w="120"/>
              <w:bottom w:type="dxa" w:w="80"/>
              <w:right w:type="dxa" w:w="120"/>
            </w:tcMar>
          </w:tcPr>
          <w:p>
            <w:pPr>
              <w:spacing w:after="0"/>
            </w:pPr>
            <w:r>
              <w:rPr>
                <w:sz w:val="20"/>
                <w:szCs w:val="20"/>
              </w:rPr>
              <w:t xml:space="preserve">5 signs your company has a data problem</w:t>
            </w:r>
          </w:p>
        </w:tc>
        <w:tc>
          <w:tcPr>
            <w:tcMar>
              <w:top w:type="dxa" w:w="80"/>
              <w:left w:type="dxa" w:w="120"/>
              <w:bottom w:type="dxa" w:w="80"/>
              <w:right w:type="dxa" w:w="120"/>
            </w:tcMar>
          </w:tcPr>
          <w:p>
            <w:pPr>
              <w:spacing w:after="0"/>
            </w:pPr>
            <w:r>
              <w:rPr>
                <w:sz w:val="20"/>
                <w:szCs w:val="20"/>
              </w:rPr>
              <w:t xml:space="preserve">Shareable listicle / seeds future topics</w:t>
            </w:r>
          </w:p>
        </w:tc>
        <w:tc>
          <w:tcPr>
            <w:tcMar>
              <w:top w:type="dxa" w:w="80"/>
              <w:left w:type="dxa" w:w="120"/>
              <w:bottom w:type="dxa" w:w="80"/>
              <w:right w:type="dxa" w:w="120"/>
            </w:tcMar>
          </w:tcPr>
          <w:p>
            <w:pPr>
              <w:spacing w:after="0"/>
            </w:pPr>
            <w:r>
              <w:rPr>
                <w:sz w:val="20"/>
                <w:szCs w:val="20"/>
              </w:rPr>
              <w:t xml:space="preserve">New</w:t>
            </w:r>
          </w:p>
        </w:tc>
      </w:tr>
      <w:tr>
        <w:tc>
          <w:tcPr>
            <w:tcMar>
              <w:top w:type="dxa" w:w="80"/>
              <w:left w:type="dxa" w:w="120"/>
              <w:bottom w:type="dxa" w:w="80"/>
              <w:right w:type="dxa" w:w="120"/>
            </w:tcMar>
          </w:tcPr>
          <w:p>
            <w:pPr>
              <w:spacing w:after="0"/>
            </w:pPr>
            <w:r>
              <w:rPr>
                <w:sz w:val="20"/>
                <w:szCs w:val="20"/>
              </w:rPr>
              <w:t xml:space="preserve">7</w:t>
            </w:r>
          </w:p>
        </w:tc>
        <w:tc>
          <w:tcPr>
            <w:tcMar>
              <w:top w:type="dxa" w:w="80"/>
              <w:left w:type="dxa" w:w="120"/>
              <w:bottom w:type="dxa" w:w="80"/>
              <w:right w:type="dxa" w:w="120"/>
            </w:tcMar>
          </w:tcPr>
          <w:p>
            <w:pPr>
              <w:spacing w:after="0"/>
            </w:pPr>
            <w:r>
              <w:rPr>
                <w:sz w:val="20"/>
                <w:szCs w:val="20"/>
              </w:rPr>
              <w:t xml:space="preserve">How I went from software developer to data professional</w:t>
            </w:r>
          </w:p>
        </w:tc>
        <w:tc>
          <w:tcPr>
            <w:tcMar>
              <w:top w:type="dxa" w:w="80"/>
              <w:left w:type="dxa" w:w="120"/>
              <w:bottom w:type="dxa" w:w="80"/>
              <w:right w:type="dxa" w:w="120"/>
            </w:tcMar>
          </w:tcPr>
          <w:p>
            <w:pPr>
              <w:spacing w:after="0"/>
            </w:pPr>
            <w:r>
              <w:rPr>
                <w:sz w:val="20"/>
                <w:szCs w:val="20"/>
              </w:rPr>
              <w:t xml:space="preserve">Identity / career-change story</w:t>
            </w:r>
          </w:p>
        </w:tc>
        <w:tc>
          <w:tcPr>
            <w:tcMar>
              <w:top w:type="dxa" w:w="80"/>
              <w:left w:type="dxa" w:w="120"/>
              <w:bottom w:type="dxa" w:w="80"/>
              <w:right w:type="dxa" w:w="120"/>
            </w:tcMar>
          </w:tcPr>
          <w:p>
            <w:pPr>
              <w:spacing w:after="0"/>
            </w:pPr>
            <w:r>
              <w:rPr>
                <w:sz w:val="20"/>
                <w:szCs w:val="20"/>
              </w:rPr>
              <w:t xml:space="preserve">New — personal journey</w:t>
            </w:r>
          </w:p>
        </w:tc>
      </w:tr>
      <w:tr>
        <w:tc>
          <w:tcPr>
            <w:tcMar>
              <w:top w:type="dxa" w:w="80"/>
              <w:left w:type="dxa" w:w="120"/>
              <w:bottom w:type="dxa" w:w="80"/>
              <w:right w:type="dxa" w:w="120"/>
            </w:tcMar>
          </w:tcPr>
          <w:p>
            <w:pPr>
              <w:spacing w:after="0"/>
            </w:pPr>
            <w:r>
              <w:rPr>
                <w:sz w:val="20"/>
                <w:szCs w:val="20"/>
              </w:rPr>
              <w:t xml:space="preserve">8</w:t>
            </w:r>
          </w:p>
        </w:tc>
        <w:tc>
          <w:tcPr>
            <w:tcMar>
              <w:top w:type="dxa" w:w="80"/>
              <w:left w:type="dxa" w:w="120"/>
              <w:bottom w:type="dxa" w:w="80"/>
              <w:right w:type="dxa" w:w="120"/>
            </w:tcMar>
          </w:tcPr>
          <w:p>
            <w:pPr>
              <w:spacing w:after="0"/>
            </w:pPr>
            <w:r>
              <w:rPr>
                <w:sz w:val="20"/>
                <w:szCs w:val="20"/>
              </w:rPr>
              <w:t xml:space="preserve">Data careers in 2026: analyst, engineer, governance or management — which path pays?</w:t>
            </w:r>
          </w:p>
        </w:tc>
        <w:tc>
          <w:tcPr>
            <w:tcMar>
              <w:top w:type="dxa" w:w="80"/>
              <w:left w:type="dxa" w:w="120"/>
              <w:bottom w:type="dxa" w:w="80"/>
              <w:right w:type="dxa" w:w="120"/>
            </w:tcMar>
          </w:tcPr>
          <w:p>
            <w:pPr>
              <w:spacing w:after="0"/>
            </w:pPr>
            <w:r>
              <w:rPr>
                <w:sz w:val="20"/>
                <w:szCs w:val="20"/>
              </w:rPr>
              <w:t xml:space="preserve">Careers &amp; growth</w:t>
            </w:r>
          </w:p>
        </w:tc>
        <w:tc>
          <w:tcPr>
            <w:tcMar>
              <w:top w:type="dxa" w:w="80"/>
              <w:left w:type="dxa" w:w="120"/>
              <w:bottom w:type="dxa" w:w="80"/>
              <w:right w:type="dxa" w:w="120"/>
            </w:tcMar>
          </w:tcPr>
          <w:p>
            <w:pPr>
              <w:spacing w:after="0"/>
            </w:pPr>
            <w:r>
              <w:rPr>
                <w:sz w:val="20"/>
                <w:szCs w:val="20"/>
              </w:rPr>
              <w:t xml:space="preserve">New</w:t>
            </w:r>
          </w:p>
        </w:tc>
      </w:tr>
      <w:tr>
        <w:tc>
          <w:tcPr>
            <w:tcMar>
              <w:top w:type="dxa" w:w="80"/>
              <w:left w:type="dxa" w:w="120"/>
              <w:bottom w:type="dxa" w:w="80"/>
              <w:right w:type="dxa" w:w="120"/>
            </w:tcMar>
          </w:tcPr>
          <w:p>
            <w:pPr>
              <w:spacing w:after="0"/>
            </w:pPr>
            <w:r>
              <w:rPr>
                <w:sz w:val="20"/>
                <w:szCs w:val="20"/>
              </w:rPr>
              <w:t xml:space="preserve">9</w:t>
            </w:r>
          </w:p>
        </w:tc>
        <w:tc>
          <w:tcPr>
            <w:tcMar>
              <w:top w:type="dxa" w:w="80"/>
              <w:left w:type="dxa" w:w="120"/>
              <w:bottom w:type="dxa" w:w="80"/>
              <w:right w:type="dxa" w:w="120"/>
            </w:tcMar>
          </w:tcPr>
          <w:p>
            <w:pPr>
              <w:spacing w:after="0"/>
            </w:pPr>
            <w:r>
              <w:rPr>
                <w:sz w:val="20"/>
                <w:szCs w:val="20"/>
              </w:rPr>
              <w:t xml:space="preserve">SQL: the one skill every data professional needs (and how I'd learn it today)</w:t>
            </w:r>
          </w:p>
        </w:tc>
        <w:tc>
          <w:tcPr>
            <w:tcMar>
              <w:top w:type="dxa" w:w="80"/>
              <w:left w:type="dxa" w:w="120"/>
              <w:bottom w:type="dxa" w:w="80"/>
              <w:right w:type="dxa" w:w="120"/>
            </w:tcMar>
          </w:tcPr>
          <w:p>
            <w:pPr>
              <w:spacing w:after="0"/>
            </w:pPr>
            <w:r>
              <w:rPr>
                <w:sz w:val="20"/>
                <w:szCs w:val="20"/>
              </w:rPr>
              <w:t xml:space="preserve">Tools &amp; technical skills</w:t>
            </w:r>
          </w:p>
        </w:tc>
        <w:tc>
          <w:tcPr>
            <w:tcMar>
              <w:top w:type="dxa" w:w="80"/>
              <w:left w:type="dxa" w:w="120"/>
              <w:bottom w:type="dxa" w:w="80"/>
              <w:right w:type="dxa" w:w="120"/>
            </w:tcMar>
          </w:tcPr>
          <w:p>
            <w:pPr>
              <w:spacing w:after="0"/>
            </w:pPr>
            <w:r>
              <w:rPr>
                <w:sz w:val="20"/>
                <w:szCs w:val="20"/>
              </w:rPr>
              <w:t xml:space="preserve">New — draws on team training experience</w:t>
            </w:r>
          </w:p>
        </w:tc>
      </w:tr>
      <w:tr>
        <w:tc>
          <w:tcPr>
            <w:tcMar>
              <w:top w:type="dxa" w:w="80"/>
              <w:left w:type="dxa" w:w="120"/>
              <w:bottom w:type="dxa" w:w="80"/>
              <w:right w:type="dxa" w:w="120"/>
            </w:tcMar>
          </w:tcPr>
          <w:p>
            <w:pPr>
              <w:spacing w:after="0"/>
            </w:pPr>
            <w:r>
              <w:rPr>
                <w:sz w:val="20"/>
                <w:szCs w:val="20"/>
              </w:rPr>
              <w:t xml:space="preserve">10</w:t>
            </w:r>
          </w:p>
        </w:tc>
        <w:tc>
          <w:tcPr>
            <w:tcMar>
              <w:top w:type="dxa" w:w="80"/>
              <w:left w:type="dxa" w:w="120"/>
              <w:bottom w:type="dxa" w:w="80"/>
              <w:right w:type="dxa" w:w="120"/>
            </w:tcMar>
          </w:tcPr>
          <w:p>
            <w:pPr>
              <w:spacing w:after="0"/>
            </w:pPr>
            <w:r>
              <w:rPr>
                <w:sz w:val="20"/>
                <w:szCs w:val="20"/>
              </w:rPr>
              <w:t xml:space="preserve">Master data: why your customer exists 9 times in your systems</w:t>
            </w:r>
          </w:p>
        </w:tc>
        <w:tc>
          <w:tcPr>
            <w:tcMar>
              <w:top w:type="dxa" w:w="80"/>
              <w:left w:type="dxa" w:w="120"/>
              <w:bottom w:type="dxa" w:w="80"/>
              <w:right w:type="dxa" w:w="120"/>
            </w:tcMar>
          </w:tcPr>
          <w:p>
            <w:pPr>
              <w:spacing w:after="0"/>
            </w:pPr>
            <w:r>
              <w:rPr>
                <w:sz w:val="20"/>
                <w:szCs w:val="20"/>
              </w:rPr>
              <w:t xml:space="preserve">Foundations (master data)</w:t>
            </w:r>
          </w:p>
        </w:tc>
        <w:tc>
          <w:tcPr>
            <w:tcMar>
              <w:top w:type="dxa" w:w="80"/>
              <w:left w:type="dxa" w:w="120"/>
              <w:bottom w:type="dxa" w:w="80"/>
              <w:right w:type="dxa" w:w="120"/>
            </w:tcMar>
          </w:tcPr>
          <w:p>
            <w:pPr>
              <w:spacing w:after="0"/>
            </w:pPr>
            <w:r>
              <w:rPr>
                <w:sz w:val="20"/>
                <w:szCs w:val="20"/>
              </w:rPr>
              <w:t xml:space="preserve">New</w:t>
            </w:r>
          </w:p>
        </w:tc>
      </w:tr>
      <w:tr>
        <w:tc>
          <w:tcPr>
            <w:tcMar>
              <w:top w:type="dxa" w:w="80"/>
              <w:left w:type="dxa" w:w="120"/>
              <w:bottom w:type="dxa" w:w="80"/>
              <w:right w:type="dxa" w:w="120"/>
            </w:tcMar>
          </w:tcPr>
          <w:p>
            <w:pPr>
              <w:spacing w:after="0"/>
            </w:pPr>
            <w:r>
              <w:rPr>
                <w:sz w:val="20"/>
                <w:szCs w:val="20"/>
              </w:rPr>
              <w:t xml:space="preserve">11</w:t>
            </w:r>
          </w:p>
        </w:tc>
        <w:tc>
          <w:tcPr>
            <w:tcMar>
              <w:top w:type="dxa" w:w="80"/>
              <w:left w:type="dxa" w:w="120"/>
              <w:bottom w:type="dxa" w:w="80"/>
              <w:right w:type="dxa" w:w="120"/>
            </w:tcMar>
          </w:tcPr>
          <w:p>
            <w:pPr>
              <w:spacing w:after="0"/>
            </w:pPr>
            <w:r>
              <w:rPr>
                <w:sz w:val="20"/>
                <w:szCs w:val="20"/>
              </w:rPr>
              <w:t xml:space="preserve">The 60-second data quality check I run on every dataset</w:t>
            </w:r>
          </w:p>
        </w:tc>
        <w:tc>
          <w:tcPr>
            <w:tcMar>
              <w:top w:type="dxa" w:w="80"/>
              <w:left w:type="dxa" w:w="120"/>
              <w:bottom w:type="dxa" w:w="80"/>
              <w:right w:type="dxa" w:w="120"/>
            </w:tcMar>
          </w:tcPr>
          <w:p>
            <w:pPr>
              <w:spacing w:after="0"/>
            </w:pPr>
            <w:r>
              <w:rPr>
                <w:sz w:val="20"/>
                <w:szCs w:val="20"/>
              </w:rPr>
              <w:t xml:space="preserve">Practical framework</w:t>
            </w:r>
          </w:p>
        </w:tc>
        <w:tc>
          <w:tcPr>
            <w:tcMar>
              <w:top w:type="dxa" w:w="80"/>
              <w:left w:type="dxa" w:w="120"/>
              <w:bottom w:type="dxa" w:w="80"/>
              <w:right w:type="dxa" w:w="120"/>
            </w:tcMar>
          </w:tcPr>
          <w:p>
            <w:pPr>
              <w:spacing w:after="0"/>
            </w:pPr>
            <w:r>
              <w:rPr>
                <w:sz w:val="20"/>
                <w:szCs w:val="20"/>
              </w:rPr>
              <w:t xml:space="preserve">New</w:t>
            </w:r>
          </w:p>
        </w:tc>
      </w:tr>
      <w:tr>
        <w:tc>
          <w:tcPr>
            <w:tcMar>
              <w:top w:type="dxa" w:w="80"/>
              <w:left w:type="dxa" w:w="120"/>
              <w:bottom w:type="dxa" w:w="80"/>
              <w:right w:type="dxa" w:w="120"/>
            </w:tcMar>
          </w:tcPr>
          <w:p>
            <w:pPr>
              <w:spacing w:after="0"/>
            </w:pPr>
            <w:r>
              <w:rPr>
                <w:sz w:val="20"/>
                <w:szCs w:val="20"/>
              </w:rPr>
              <w:t xml:space="preserve">12</w:t>
            </w:r>
          </w:p>
        </w:tc>
        <w:tc>
          <w:tcPr>
            <w:tcMar>
              <w:top w:type="dxa" w:w="80"/>
              <w:left w:type="dxa" w:w="120"/>
              <w:bottom w:type="dxa" w:w="80"/>
              <w:right w:type="dxa" w:w="120"/>
            </w:tcMar>
          </w:tcPr>
          <w:p>
            <w:pPr>
              <w:spacing w:after="0"/>
            </w:pPr>
            <w:r>
              <w:rPr>
                <w:sz w:val="20"/>
                <w:szCs w:val="20"/>
              </w:rPr>
              <w:t xml:space="preserve">What is metadata, and why it's the most ignored asset in your company</w:t>
            </w:r>
          </w:p>
        </w:tc>
        <w:tc>
          <w:tcPr>
            <w:tcMar>
              <w:top w:type="dxa" w:w="80"/>
              <w:left w:type="dxa" w:w="120"/>
              <w:bottom w:type="dxa" w:w="80"/>
              <w:right w:type="dxa" w:w="120"/>
            </w:tcMar>
          </w:tcPr>
          <w:p>
            <w:pPr>
              <w:spacing w:after="0"/>
            </w:pPr>
            <w:r>
              <w:rPr>
                <w:sz w:val="20"/>
                <w:szCs w:val="20"/>
              </w:rPr>
              <w:t xml:space="preserve">Evergreen search</w:t>
            </w:r>
          </w:p>
        </w:tc>
        <w:tc>
          <w:tcPr>
            <w:tcMar>
              <w:top w:type="dxa" w:w="80"/>
              <w:left w:type="dxa" w:w="120"/>
              <w:bottom w:type="dxa" w:w="80"/>
              <w:right w:type="dxa" w:w="120"/>
            </w:tcMar>
          </w:tcPr>
          <w:p>
            <w:pPr>
              <w:spacing w:after="0"/>
            </w:pPr>
            <w:r>
              <w:rPr>
                <w:sz w:val="20"/>
                <w:szCs w:val="20"/>
              </w:rPr>
              <w:t xml:space="preserve">New</w:t>
            </w:r>
          </w:p>
        </w:tc>
      </w:tr>
      <w:tr>
        <w:tc>
          <w:tcPr>
            <w:tcMar>
              <w:top w:type="dxa" w:w="80"/>
              <w:left w:type="dxa" w:w="120"/>
              <w:bottom w:type="dxa" w:w="80"/>
              <w:right w:type="dxa" w:w="120"/>
            </w:tcMar>
          </w:tcPr>
          <w:p>
            <w:pPr>
              <w:spacing w:after="0"/>
            </w:pPr>
            <w:r>
              <w:rPr>
                <w:sz w:val="20"/>
                <w:szCs w:val="20"/>
              </w:rPr>
              <w:t xml:space="preserve">13</w:t>
            </w:r>
          </w:p>
        </w:tc>
        <w:tc>
          <w:tcPr>
            <w:tcMar>
              <w:top w:type="dxa" w:w="80"/>
              <w:left w:type="dxa" w:w="120"/>
              <w:bottom w:type="dxa" w:w="80"/>
              <w:right w:type="dxa" w:w="120"/>
            </w:tcMar>
          </w:tcPr>
          <w:p>
            <w:pPr>
              <w:spacing w:after="0"/>
            </w:pPr>
            <w:r>
              <w:rPr>
                <w:sz w:val="20"/>
                <w:szCs w:val="20"/>
              </w:rPr>
              <w:t xml:space="preserve">Excel is not a database: when spreadsheets quietly ruin companies</w:t>
            </w:r>
          </w:p>
        </w:tc>
        <w:tc>
          <w:tcPr>
            <w:tcMar>
              <w:top w:type="dxa" w:w="80"/>
              <w:left w:type="dxa" w:w="120"/>
              <w:bottom w:type="dxa" w:w="80"/>
              <w:right w:type="dxa" w:w="120"/>
            </w:tcMar>
          </w:tcPr>
          <w:p>
            <w:pPr>
              <w:spacing w:after="0"/>
            </w:pPr>
            <w:r>
              <w:rPr>
                <w:sz w:val="20"/>
                <w:szCs w:val="20"/>
              </w:rPr>
              <w:t xml:space="preserve">Tools &amp; technical skills</w:t>
            </w:r>
          </w:p>
        </w:tc>
        <w:tc>
          <w:tcPr>
            <w:tcMar>
              <w:top w:type="dxa" w:w="80"/>
              <w:left w:type="dxa" w:w="120"/>
              <w:bottom w:type="dxa" w:w="80"/>
              <w:right w:type="dxa" w:w="120"/>
            </w:tcMar>
          </w:tcPr>
          <w:p>
            <w:pPr>
              <w:spacing w:after="0"/>
            </w:pPr>
            <w:r>
              <w:rPr>
                <w:sz w:val="20"/>
                <w:szCs w:val="20"/>
              </w:rPr>
              <w:t xml:space="preserve">New — Access-to-SQL war stories</w:t>
            </w:r>
          </w:p>
        </w:tc>
      </w:tr>
      <w:tr>
        <w:tc>
          <w:tcPr>
            <w:tcMar>
              <w:top w:type="dxa" w:w="80"/>
              <w:left w:type="dxa" w:w="120"/>
              <w:bottom w:type="dxa" w:w="80"/>
              <w:right w:type="dxa" w:w="120"/>
            </w:tcMar>
          </w:tcPr>
          <w:p>
            <w:pPr>
              <w:spacing w:after="0"/>
            </w:pPr>
            <w:r>
              <w:rPr>
                <w:sz w:val="20"/>
                <w:szCs w:val="20"/>
              </w:rPr>
              <w:t xml:space="preserve">14</w:t>
            </w:r>
          </w:p>
        </w:tc>
        <w:tc>
          <w:tcPr>
            <w:tcMar>
              <w:top w:type="dxa" w:w="80"/>
              <w:left w:type="dxa" w:w="120"/>
              <w:bottom w:type="dxa" w:w="80"/>
              <w:right w:type="dxa" w:w="120"/>
            </w:tcMar>
          </w:tcPr>
          <w:p>
            <w:pPr>
              <w:spacing w:after="0"/>
            </w:pPr>
            <w:r>
              <w:rPr>
                <w:sz w:val="20"/>
                <w:szCs w:val="20"/>
              </w:rPr>
              <w:t xml:space="preserve">Dashboards people actually use: what most Power BI reports get wrong</w:t>
            </w:r>
          </w:p>
        </w:tc>
        <w:tc>
          <w:tcPr>
            <w:tcMar>
              <w:top w:type="dxa" w:w="80"/>
              <w:left w:type="dxa" w:w="120"/>
              <w:bottom w:type="dxa" w:w="80"/>
              <w:right w:type="dxa" w:w="120"/>
            </w:tcMar>
          </w:tcPr>
          <w:p>
            <w:pPr>
              <w:spacing w:after="0"/>
            </w:pPr>
            <w:r>
              <w:rPr>
                <w:sz w:val="20"/>
                <w:szCs w:val="20"/>
              </w:rPr>
              <w:t xml:space="preserve">Analytics &amp; BI</w:t>
            </w:r>
          </w:p>
        </w:tc>
        <w:tc>
          <w:tcPr>
            <w:tcMar>
              <w:top w:type="dxa" w:w="80"/>
              <w:left w:type="dxa" w:w="120"/>
              <w:bottom w:type="dxa" w:w="80"/>
              <w:right w:type="dxa" w:w="120"/>
            </w:tcMar>
          </w:tcPr>
          <w:p>
            <w:pPr>
              <w:spacing w:after="0"/>
            </w:pPr>
            <w:r>
              <w:rPr>
                <w:sz w:val="20"/>
                <w:szCs w:val="20"/>
              </w:rPr>
              <w:t xml:space="preserve">New — draws on dashboard work</w:t>
            </w:r>
          </w:p>
        </w:tc>
      </w:tr>
      <w:tr>
        <w:tc>
          <w:tcPr>
            <w:tcMar>
              <w:top w:type="dxa" w:w="80"/>
              <w:left w:type="dxa" w:w="120"/>
              <w:bottom w:type="dxa" w:w="80"/>
              <w:right w:type="dxa" w:w="120"/>
            </w:tcMar>
          </w:tcPr>
          <w:p>
            <w:pPr>
              <w:spacing w:after="0"/>
            </w:pPr>
            <w:r>
              <w:rPr>
                <w:sz w:val="20"/>
                <w:szCs w:val="20"/>
              </w:rPr>
              <w:t xml:space="preserve">15</w:t>
            </w:r>
          </w:p>
        </w:tc>
        <w:tc>
          <w:tcPr>
            <w:tcMar>
              <w:top w:type="dxa" w:w="80"/>
              <w:left w:type="dxa" w:w="120"/>
              <w:bottom w:type="dxa" w:w="80"/>
              <w:right w:type="dxa" w:w="120"/>
            </w:tcMar>
          </w:tcPr>
          <w:p>
            <w:pPr>
              <w:spacing w:after="0"/>
            </w:pPr>
            <w:r>
              <w:rPr>
                <w:sz w:val="20"/>
                <w:szCs w:val="20"/>
              </w:rPr>
              <w:t xml:space="preserve">Who owns the data? The office argument nobody wins</w:t>
            </w:r>
          </w:p>
        </w:tc>
        <w:tc>
          <w:tcPr>
            <w:tcMar>
              <w:top w:type="dxa" w:w="80"/>
              <w:left w:type="dxa" w:w="120"/>
              <w:bottom w:type="dxa" w:w="80"/>
              <w:right w:type="dxa" w:w="120"/>
            </w:tcMar>
          </w:tcPr>
          <w:p>
            <w:pPr>
              <w:spacing w:after="0"/>
            </w:pPr>
            <w:r>
              <w:rPr>
                <w:sz w:val="20"/>
                <w:szCs w:val="20"/>
              </w:rPr>
              <w:t xml:space="preserve">Foundations (ownership &amp; stewardship)</w:t>
            </w:r>
          </w:p>
        </w:tc>
        <w:tc>
          <w:tcPr>
            <w:tcMar>
              <w:top w:type="dxa" w:w="80"/>
              <w:left w:type="dxa" w:w="120"/>
              <w:bottom w:type="dxa" w:w="80"/>
              <w:right w:type="dxa" w:w="120"/>
            </w:tcMar>
          </w:tcPr>
          <w:p>
            <w:pPr>
              <w:spacing w:after="0"/>
            </w:pPr>
            <w:r>
              <w:rPr>
                <w:sz w:val="20"/>
                <w:szCs w:val="20"/>
              </w:rPr>
              <w:t xml:space="preserve">New</w:t>
            </w:r>
          </w:p>
        </w:tc>
      </w:tr>
      <w:tr>
        <w:tc>
          <w:tcPr>
            <w:tcMar>
              <w:top w:type="dxa" w:w="80"/>
              <w:left w:type="dxa" w:w="120"/>
              <w:bottom w:type="dxa" w:w="80"/>
              <w:right w:type="dxa" w:w="120"/>
            </w:tcMar>
          </w:tcPr>
          <w:p>
            <w:pPr>
              <w:spacing w:after="0"/>
            </w:pPr>
            <w:r>
              <w:rPr>
                <w:sz w:val="20"/>
                <w:szCs w:val="20"/>
              </w:rPr>
              <w:t xml:space="preserve">16</w:t>
            </w:r>
          </w:p>
        </w:tc>
        <w:tc>
          <w:tcPr>
            <w:tcMar>
              <w:top w:type="dxa" w:w="80"/>
              <w:left w:type="dxa" w:w="120"/>
              <w:bottom w:type="dxa" w:w="80"/>
              <w:right w:type="dxa" w:w="120"/>
            </w:tcMar>
          </w:tcPr>
          <w:p>
            <w:pPr>
              <w:spacing w:after="0"/>
            </w:pPr>
            <w:r>
              <w:rPr>
                <w:sz w:val="20"/>
                <w:szCs w:val="20"/>
              </w:rPr>
              <w:t xml:space="preserve">The GDPR basics every professional should know (not just lawyers)</w:t>
            </w:r>
          </w:p>
        </w:tc>
        <w:tc>
          <w:tcPr>
            <w:tcMar>
              <w:top w:type="dxa" w:w="80"/>
              <w:left w:type="dxa" w:w="120"/>
              <w:bottom w:type="dxa" w:w="80"/>
              <w:right w:type="dxa" w:w="120"/>
            </w:tcMar>
          </w:tcPr>
          <w:p>
            <w:pPr>
              <w:spacing w:after="0"/>
            </w:pPr>
            <w:r>
              <w:rPr>
                <w:sz w:val="20"/>
                <w:szCs w:val="20"/>
              </w:rPr>
              <w:t xml:space="preserve">Evergreen UK/EU search</w:t>
            </w:r>
          </w:p>
        </w:tc>
        <w:tc>
          <w:tcPr>
            <w:tcMar>
              <w:top w:type="dxa" w:w="80"/>
              <w:left w:type="dxa" w:w="120"/>
              <w:bottom w:type="dxa" w:w="80"/>
              <w:right w:type="dxa" w:w="120"/>
            </w:tcMar>
          </w:tcPr>
          <w:p>
            <w:pPr>
              <w:spacing w:after="0"/>
            </w:pPr>
            <w:r>
              <w:rPr>
                <w:sz w:val="20"/>
                <w:szCs w:val="20"/>
              </w:rPr>
              <w:t xml:space="preserve">New</w:t>
            </w:r>
          </w:p>
        </w:tc>
      </w:tr>
      <w:tr>
        <w:tc>
          <w:tcPr>
            <w:tcMar>
              <w:top w:type="dxa" w:w="80"/>
              <w:left w:type="dxa" w:w="120"/>
              <w:bottom w:type="dxa" w:w="80"/>
              <w:right w:type="dxa" w:w="120"/>
            </w:tcMar>
          </w:tcPr>
          <w:p>
            <w:pPr>
              <w:spacing w:after="0"/>
            </w:pPr>
            <w:r>
              <w:rPr>
                <w:sz w:val="20"/>
                <w:szCs w:val="20"/>
              </w:rPr>
              <w:t xml:space="preserve">17</w:t>
            </w:r>
          </w:p>
        </w:tc>
        <w:tc>
          <w:tcPr>
            <w:tcMar>
              <w:top w:type="dxa" w:w="80"/>
              <w:left w:type="dxa" w:w="120"/>
              <w:bottom w:type="dxa" w:w="80"/>
              <w:right w:type="dxa" w:w="120"/>
            </w:tcMar>
          </w:tcPr>
          <w:p>
            <w:pPr>
              <w:spacing w:after="0"/>
            </w:pPr>
            <w:r>
              <w:rPr>
                <w:sz w:val="20"/>
                <w:szCs w:val="20"/>
              </w:rPr>
              <w:t xml:space="preserve">How data flows through a company: from keyboard to boardroom</w:t>
            </w:r>
          </w:p>
        </w:tc>
        <w:tc>
          <w:tcPr>
            <w:tcMar>
              <w:top w:type="dxa" w:w="80"/>
              <w:left w:type="dxa" w:w="120"/>
              <w:bottom w:type="dxa" w:w="80"/>
              <w:right w:type="dxa" w:w="120"/>
            </w:tcMar>
          </w:tcPr>
          <w:p>
            <w:pPr>
              <w:spacing w:after="0"/>
            </w:pPr>
            <w:r>
              <w:rPr>
                <w:sz w:val="20"/>
                <w:szCs w:val="20"/>
              </w:rPr>
              <w:t xml:space="preserve">Visual storytelling (lifecycle)</w:t>
            </w:r>
          </w:p>
        </w:tc>
        <w:tc>
          <w:tcPr>
            <w:tcMar>
              <w:top w:type="dxa" w:w="80"/>
              <w:left w:type="dxa" w:w="120"/>
              <w:bottom w:type="dxa" w:w="80"/>
              <w:right w:type="dxa" w:w="120"/>
            </w:tcMar>
          </w:tcPr>
          <w:p>
            <w:pPr>
              <w:spacing w:after="0"/>
            </w:pPr>
            <w:r>
              <w:rPr>
                <w:sz w:val="20"/>
                <w:szCs w:val="20"/>
              </w:rPr>
              <w:t xml:space="preserve">New</w:t>
            </w:r>
          </w:p>
        </w:tc>
      </w:tr>
      <w:tr>
        <w:tc>
          <w:tcPr>
            <w:tcMar>
              <w:top w:type="dxa" w:w="80"/>
              <w:left w:type="dxa" w:w="120"/>
              <w:bottom w:type="dxa" w:w="80"/>
              <w:right w:type="dxa" w:w="120"/>
            </w:tcMar>
          </w:tcPr>
          <w:p>
            <w:pPr>
              <w:spacing w:after="0"/>
            </w:pPr>
            <w:r>
              <w:rPr>
                <w:sz w:val="20"/>
                <w:szCs w:val="20"/>
              </w:rPr>
              <w:t xml:space="preserve">18</w:t>
            </w:r>
          </w:p>
        </w:tc>
        <w:tc>
          <w:tcPr>
            <w:tcMar>
              <w:top w:type="dxa" w:w="80"/>
              <w:left w:type="dxa" w:w="120"/>
              <w:bottom w:type="dxa" w:w="80"/>
              <w:right w:type="dxa" w:w="120"/>
            </w:tcMar>
          </w:tcPr>
          <w:p>
            <w:pPr>
              <w:spacing w:after="0"/>
            </w:pPr>
            <w:r>
              <w:rPr>
                <w:sz w:val="20"/>
                <w:szCs w:val="20"/>
              </w:rPr>
              <w:t xml:space="preserve">Data warehouses, lakes and lakehouses: cutting through the jargon</w:t>
            </w:r>
          </w:p>
        </w:tc>
        <w:tc>
          <w:tcPr>
            <w:tcMar>
              <w:top w:type="dxa" w:w="80"/>
              <w:left w:type="dxa" w:w="120"/>
              <w:bottom w:type="dxa" w:w="80"/>
              <w:right w:type="dxa" w:w="120"/>
            </w:tcMar>
          </w:tcPr>
          <w:p>
            <w:pPr>
              <w:spacing w:after="0"/>
            </w:pPr>
            <w:r>
              <w:rPr>
                <w:sz w:val="20"/>
                <w:szCs w:val="20"/>
              </w:rPr>
              <w:t xml:space="preserve">High search volume</w:t>
            </w:r>
          </w:p>
        </w:tc>
        <w:tc>
          <w:tcPr>
            <w:tcMar>
              <w:top w:type="dxa" w:w="80"/>
              <w:left w:type="dxa" w:w="120"/>
              <w:bottom w:type="dxa" w:w="80"/>
              <w:right w:type="dxa" w:w="120"/>
            </w:tcMar>
          </w:tcPr>
          <w:p>
            <w:pPr>
              <w:spacing w:after="0"/>
            </w:pPr>
            <w:r>
              <w:rPr>
                <w:sz w:val="20"/>
                <w:szCs w:val="20"/>
              </w:rPr>
              <w:t xml:space="preserve">New</w:t>
            </w:r>
          </w:p>
        </w:tc>
      </w:tr>
      <w:tr>
        <w:tc>
          <w:tcPr>
            <w:tcMar>
              <w:top w:type="dxa" w:w="80"/>
              <w:left w:type="dxa" w:w="120"/>
              <w:bottom w:type="dxa" w:w="80"/>
              <w:right w:type="dxa" w:w="120"/>
            </w:tcMar>
          </w:tcPr>
          <w:p>
            <w:pPr>
              <w:spacing w:after="0"/>
            </w:pPr>
            <w:r>
              <w:rPr>
                <w:sz w:val="20"/>
                <w:szCs w:val="20"/>
              </w:rPr>
              <w:t xml:space="preserve">19</w:t>
            </w:r>
          </w:p>
        </w:tc>
        <w:tc>
          <w:tcPr>
            <w:tcMar>
              <w:top w:type="dxa" w:w="80"/>
              <w:left w:type="dxa" w:w="120"/>
              <w:bottom w:type="dxa" w:w="80"/>
              <w:right w:type="dxa" w:w="120"/>
            </w:tcMar>
          </w:tcPr>
          <w:p>
            <w:pPr>
              <w:spacing w:after="0"/>
            </w:pPr>
            <w:r>
              <w:rPr>
                <w:sz w:val="20"/>
                <w:szCs w:val="20"/>
              </w:rPr>
              <w:t xml:space="preserve">Data certifications in 2026: which are worth your money (CDMP and beyond)</w:t>
            </w:r>
          </w:p>
        </w:tc>
        <w:tc>
          <w:tcPr>
            <w:tcMar>
              <w:top w:type="dxa" w:w="80"/>
              <w:left w:type="dxa" w:w="120"/>
              <w:bottom w:type="dxa" w:w="80"/>
              <w:right w:type="dxa" w:w="120"/>
            </w:tcMar>
          </w:tcPr>
          <w:p>
            <w:pPr>
              <w:spacing w:after="0"/>
            </w:pPr>
            <w:r>
              <w:rPr>
                <w:sz w:val="20"/>
                <w:szCs w:val="20"/>
              </w:rPr>
              <w:t xml:space="preserve">Careers / high-intent search</w:t>
            </w:r>
          </w:p>
        </w:tc>
        <w:tc>
          <w:tcPr>
            <w:tcMar>
              <w:top w:type="dxa" w:w="80"/>
              <w:left w:type="dxa" w:w="120"/>
              <w:bottom w:type="dxa" w:w="80"/>
              <w:right w:type="dxa" w:w="120"/>
            </w:tcMar>
          </w:tcPr>
          <w:p>
            <w:pPr>
              <w:spacing w:after="0"/>
            </w:pPr>
            <w:r>
              <w:rPr>
                <w:sz w:val="20"/>
                <w:szCs w:val="20"/>
              </w:rPr>
              <w:t xml:space="preserve">New</w:t>
            </w:r>
          </w:p>
        </w:tc>
      </w:tr>
      <w:tr>
        <w:tc>
          <w:tcPr>
            <w:tcMar>
              <w:top w:type="dxa" w:w="80"/>
              <w:left w:type="dxa" w:w="120"/>
              <w:bottom w:type="dxa" w:w="80"/>
              <w:right w:type="dxa" w:w="120"/>
            </w:tcMar>
          </w:tcPr>
          <w:p>
            <w:pPr>
              <w:spacing w:after="0"/>
            </w:pPr>
            <w:r>
              <w:rPr>
                <w:sz w:val="20"/>
                <w:szCs w:val="20"/>
              </w:rPr>
              <w:t xml:space="preserve">20</w:t>
            </w:r>
          </w:p>
        </w:tc>
        <w:tc>
          <w:tcPr>
            <w:tcMar>
              <w:top w:type="dxa" w:w="80"/>
              <w:left w:type="dxa" w:w="120"/>
              <w:bottom w:type="dxa" w:w="80"/>
              <w:right w:type="dxa" w:w="120"/>
            </w:tcMar>
          </w:tcPr>
          <w:p>
            <w:pPr>
              <w:spacing w:after="0"/>
            </w:pPr>
            <w:r>
              <w:rPr>
                <w:sz w:val="20"/>
                <w:szCs w:val="20"/>
              </w:rPr>
              <w:t xml:space="preserve">AI and your data job: what actually changes (and what doesn't)</w:t>
            </w:r>
          </w:p>
        </w:tc>
        <w:tc>
          <w:tcPr>
            <w:tcMar>
              <w:top w:type="dxa" w:w="80"/>
              <w:left w:type="dxa" w:w="120"/>
              <w:bottom w:type="dxa" w:w="80"/>
              <w:right w:type="dxa" w:w="120"/>
            </w:tcMar>
          </w:tcPr>
          <w:p>
            <w:pPr>
              <w:spacing w:after="0"/>
            </w:pPr>
            <w:r>
              <w:rPr>
                <w:sz w:val="20"/>
                <w:szCs w:val="20"/>
              </w:rPr>
              <w:t xml:space="preserve">Analytics &amp; AI era</w:t>
            </w:r>
          </w:p>
        </w:tc>
        <w:tc>
          <w:tcPr>
            <w:tcMar>
              <w:top w:type="dxa" w:w="80"/>
              <w:left w:type="dxa" w:w="120"/>
              <w:bottom w:type="dxa" w:w="80"/>
              <w:right w:type="dxa" w:w="120"/>
            </w:tcMar>
          </w:tcPr>
          <w:p>
            <w:pPr>
              <w:spacing w:after="0"/>
            </w:pPr>
            <w:r>
              <w:rPr>
                <w:sz w:val="20"/>
                <w:szCs w:val="20"/>
              </w:rPr>
              <w:t xml:space="preserve">New</w:t>
            </w:r>
          </w:p>
        </w:tc>
      </w:tr>
      <w:tr>
        <w:tc>
          <w:tcPr>
            <w:tcMar>
              <w:top w:type="dxa" w:w="80"/>
              <w:left w:type="dxa" w:w="120"/>
              <w:bottom w:type="dxa" w:w="80"/>
              <w:right w:type="dxa" w:w="120"/>
            </w:tcMar>
          </w:tcPr>
          <w:p>
            <w:pPr>
              <w:spacing w:after="0"/>
            </w:pPr>
            <w:r>
              <w:rPr>
                <w:sz w:val="20"/>
                <w:szCs w:val="20"/>
              </w:rPr>
              <w:t xml:space="preserve">21</w:t>
            </w:r>
          </w:p>
        </w:tc>
        <w:tc>
          <w:tcPr>
            <w:tcMar>
              <w:top w:type="dxa" w:w="80"/>
              <w:left w:type="dxa" w:w="120"/>
              <w:bottom w:type="dxa" w:w="80"/>
              <w:right w:type="dxa" w:w="120"/>
            </w:tcMar>
          </w:tcPr>
          <w:p>
            <w:pPr>
              <w:spacing w:after="0"/>
            </w:pPr>
            <w:r>
              <w:rPr>
                <w:sz w:val="20"/>
                <w:szCs w:val="20"/>
              </w:rPr>
              <w:t xml:space="preserve">How to run a data quality project that people don't hate</w:t>
            </w:r>
          </w:p>
        </w:tc>
        <w:tc>
          <w:tcPr>
            <w:tcMar>
              <w:top w:type="dxa" w:w="80"/>
              <w:left w:type="dxa" w:w="120"/>
              <w:bottom w:type="dxa" w:w="80"/>
              <w:right w:type="dxa" w:w="120"/>
            </w:tcMar>
          </w:tcPr>
          <w:p>
            <w:pPr>
              <w:spacing w:after="0"/>
            </w:pPr>
            <w:r>
              <w:rPr>
                <w:sz w:val="20"/>
                <w:szCs w:val="20"/>
              </w:rPr>
              <w:t xml:space="preserve">Practitioner / community-builder</w:t>
            </w:r>
          </w:p>
        </w:tc>
        <w:tc>
          <w:tcPr>
            <w:tcMar>
              <w:top w:type="dxa" w:w="80"/>
              <w:left w:type="dxa" w:w="120"/>
              <w:bottom w:type="dxa" w:w="80"/>
              <w:right w:type="dxa" w:w="120"/>
            </w:tcMar>
          </w:tcPr>
          <w:p>
            <w:pPr>
              <w:spacing w:after="0"/>
            </w:pPr>
            <w:r>
              <w:rPr>
                <w:sz w:val="20"/>
                <w:szCs w:val="20"/>
              </w:rPr>
              <w:t xml:space="preserve">New</w:t>
            </w:r>
          </w:p>
        </w:tc>
      </w:tr>
      <w:tr>
        <w:tc>
          <w:tcPr>
            <w:tcMar>
              <w:top w:type="dxa" w:w="80"/>
              <w:left w:type="dxa" w:w="120"/>
              <w:bottom w:type="dxa" w:w="80"/>
              <w:right w:type="dxa" w:w="120"/>
            </w:tcMar>
          </w:tcPr>
          <w:p>
            <w:pPr>
              <w:spacing w:after="0"/>
            </w:pPr>
            <w:r>
              <w:rPr>
                <w:sz w:val="20"/>
                <w:szCs w:val="20"/>
              </w:rPr>
              <w:t xml:space="preserve">22</w:t>
            </w:r>
          </w:p>
        </w:tc>
        <w:tc>
          <w:tcPr>
            <w:tcMar>
              <w:top w:type="dxa" w:w="80"/>
              <w:left w:type="dxa" w:w="120"/>
              <w:bottom w:type="dxa" w:w="80"/>
              <w:right w:type="dxa" w:w="120"/>
            </w:tcMar>
          </w:tcPr>
          <w:p>
            <w:pPr>
              <w:spacing w:after="0"/>
            </w:pPr>
            <w:r>
              <w:rPr>
                <w:sz w:val="20"/>
                <w:szCs w:val="20"/>
              </w:rPr>
              <w:t xml:space="preserve">Everything a great data professional needs to know: the complete map</w:t>
            </w:r>
          </w:p>
        </w:tc>
        <w:tc>
          <w:tcPr>
            <w:tcMar>
              <w:top w:type="dxa" w:w="80"/>
              <w:left w:type="dxa" w:w="120"/>
              <w:bottom w:type="dxa" w:w="80"/>
              <w:right w:type="dxa" w:w="120"/>
            </w:tcMar>
          </w:tcPr>
          <w:p>
            <w:pPr>
              <w:spacing w:after="0"/>
            </w:pPr>
            <w:r>
              <w:rPr>
                <w:sz w:val="20"/>
                <w:szCs w:val="20"/>
              </w:rPr>
              <w:t xml:space="preserve">Capstone / pinned start-here funnel</w:t>
            </w:r>
          </w:p>
        </w:tc>
        <w:tc>
          <w:tcPr>
            <w:tcMar>
              <w:top w:type="dxa" w:w="80"/>
              <w:left w:type="dxa" w:w="120"/>
              <w:bottom w:type="dxa" w:w="80"/>
              <w:right w:type="dxa" w:w="120"/>
            </w:tcMar>
          </w:tcPr>
          <w:p>
            <w:pPr>
              <w:spacing w:after="0"/>
            </w:pPr>
            <w:r>
              <w:rPr>
                <w:sz w:val="20"/>
                <w:szCs w:val="20"/>
              </w:rPr>
              <w:t xml:space="preserve">Compile once library exists</w:t>
            </w:r>
          </w:p>
        </w:tc>
      </w:tr>
    </w:tbl>
    <w:p>
      <w:pPr>
        <w:spacing w:after="0"/>
      </w:pPr>
      <w:r>
        <w:t xml:space="preserve"/>
      </w:r>
    </w:p>
    <w:p>
      <w:pPr>
        <w:spacing w:after="160"/>
      </w:pPr>
      <w:r>
        <w:t xml:space="preserve">Already-produced footage is never discarded: it is repackaged. The expensive part (on-camera teaching) is done; retitling, re-shooting only the intro hook and end-trailer against the same background, and cutting them onto the front and back converts existing videos into problem-led videos for roughly an hour of work each. Any framing that presents a video as book or chapter coverage is replaced in that re-shoot.</w:t>
      </w:r>
    </w:p>
    <w:p>
      <w:pPr>
        <w:pStyle w:val="Heading1"/>
        <w:spacing w:after="180" w:before="360"/>
      </w:pPr>
      <w:r>
        <w:t xml:space="preserve">5. Scripting Guide</w:t>
      </w:r>
    </w:p>
    <w:p>
      <w:pPr>
        <w:pStyle w:val="Heading2"/>
        <w:spacing w:after="140" w:before="280"/>
      </w:pPr>
      <w:r>
        <w:t xml:space="preserve">5.1 Standard script structure</w:t>
      </w:r>
    </w:p>
    <w:p>
      <w:pPr>
        <w:spacing w:after="160"/>
      </w:pPr>
      <w:r>
        <w:t xml:space="preserve">Every video follows the same skeleton, with timings scaled to length (assume ~140 spoken words per minute). Hook (0:00–0:45): no greetings or channel housekeeping; open with the viewer's problem, promise the payoff, and plant an open loop for something later in the video. Credibility and promise (to ~2:00): who the presenter is in one breath, why this topic matters, what the viewer will be able to do by the end. Body (three to five sections): each section ends with a bridge that raises the question the next section answers — sections never simply stop. Landing: restate the core argument in three or four sentences, deliver the promised exercise or takeaway, then pivot immediately into the next video with a problem-led tease. Sign-off is one line, never a fade-out.</w:t>
      </w:r>
    </w:p>
    <w:p>
      <w:pPr>
        <w:pStyle w:val="Heading2"/>
        <w:spacing w:after="140" w:before="280"/>
      </w:pPr>
      <w:r>
        <w:t xml:space="preserve">5.2 The ten scripting rules</w:t>
      </w:r>
    </w:p>
    <w:p>
      <w:pPr>
        <w:spacing w:after="160"/>
      </w:pPr>
      <w:r>
        <w:t xml:space="preserve">One — the first 30 seconds decide everything; never open with 'welcome back'. Two — write for the ear: contractions, short sentences, read every draft aloud, rewrite anything that stumbles. Three — one video, one core idea; split anything bigger. Four — structure as a journey, not a list; transitions are where retention dies. Five — re-hook every 60–90 seconds with a story, example, question or value tease. Six — concrete beats abstract: every principle is immediately followed by a specific, visualisable example, preferably from lived experience. Seven — signal the value of staying ('in a minute I'll show you the exercise'). Eight — cut 15–20% of every draft before filming; padding is felt within seconds. Nine — end with momentum into the next video; the last ten seconds of one video are the first ten of the next one's audience. Ten — frameworks and numbers everywhere: compress every concept into something nameable and countable a viewer could repeat to a colleague.</w:t>
      </w:r>
    </w:p>
    <w:p>
      <w:pPr>
        <w:pStyle w:val="Heading2"/>
        <w:spacing w:after="140" w:before="280"/>
      </w:pPr>
      <w:r>
        <w:t xml:space="preserve">5.3 Voice and the AI test</w:t>
      </w:r>
    </w:p>
    <w:p>
      <w:pPr>
        <w:spacing w:after="160"/>
      </w:pPr>
      <w:r>
        <w:t xml:space="preserve">The script voice is the presenter's own: a practitioner speaking from experience, warm and direct, UK English, with natural asides and occasional informality. Before filming, every script is checked for machine-voice symptoms — overly balanced sentences, 'delve/crucial/furthermore', lists of three everywhere, relentless smoothness, generic enthusiasm — and any passage that sounds written rather than spoken is rewritten. Signature devices that already work and should recur: vivid analogies (the fire, the garden not the statue, the polluted river, the torch in the warehouse), real stories with real stakes (the vaccination dates, the mother line), and rhetorical questions aimed straight at the viewer's workplace.</w:t>
      </w:r>
    </w:p>
    <w:p>
      <w:pPr>
        <w:pStyle w:val="Heading2"/>
        <w:spacing w:after="140" w:before="280"/>
      </w:pPr>
      <w:r>
        <w:t xml:space="preserve">5.4 Script review workflow</w:t>
      </w:r>
    </w:p>
    <w:p>
      <w:pPr>
        <w:spacing w:after="160"/>
      </w:pPr>
      <w:r>
        <w:t xml:space="preserve">Each draft goes through the standard review prompt (kept alongside this document): a structured check against the ten rules plus the AI-voice test, producing a diagnosis, a rewritten script, and a list of placeholders needing personal examples. Target length is stated up front, and a sample of the presenter's natural writing is supplied whenever a rewrite drifts from voice.</w:t>
      </w:r>
    </w:p>
    <w:p>
      <w:pPr>
        <w:pStyle w:val="Heading1"/>
        <w:spacing w:after="180" w:before="360"/>
      </w:pPr>
      <w:r>
        <w:t xml:space="preserve">6. Delivery Style</w:t>
      </w:r>
    </w:p>
    <w:p>
      <w:pPr>
        <w:spacing w:after="160"/>
      </w:pPr>
      <w:r>
        <w:t xml:space="preserve">The on-camera register is calm, warm and unhurried — a knowledgeable colleague over coffee, not a hype performer. In a space where trust is the product, steady delivery is a strategic choice, and it suits both the presenter's natural manner and the professional audience. Energy comes from genuine interest in the material and the stakes of the stories, not from volume or pace.</w:t>
      </w:r>
    </w:p>
    <w:p>
      <w:pPr>
        <w:spacing w:after="160"/>
      </w:pPr>
      <w:r>
        <w:t xml:space="preserve">Scripts are delivered from a tight outline plus fully scripted hook and transitions, rather than word-for-word reading — precision where it counts, naturalness everywhere else. Direct address ('you', 'your organisation', 'tomorrow morning when you open that spreadsheet') is used constantly to keep the viewer personally implicated.</w:t>
      </w:r>
    </w:p>
    <w:p>
      <w:pPr>
        <w:pStyle w:val="Heading1"/>
        <w:spacing w:after="180" w:before="360"/>
      </w:pPr>
      <w:r>
        <w:t xml:space="preserve">7. Production Guide</w:t>
      </w:r>
    </w:p>
    <w:p>
      <w:pPr>
        <w:pStyle w:val="Heading2"/>
        <w:spacing w:after="140" w:before="280"/>
      </w:pPr>
      <w:r>
        <w:t xml:space="preserve">7.1 Visual philosophy</w:t>
      </w:r>
    </w:p>
    <w:p>
      <w:pPr>
        <w:spacing w:after="160"/>
      </w:pPr>
      <w:r>
        <w:t xml:space="preserve">Clean over flashy: good lighting, a tidy consistent background, sharp audio. Production value grows with the channel; it never delays publishing. The presenter on camera is the default visual state, because a consistent human presenter is itself a retention, trust and authority asset.</w:t>
      </w:r>
    </w:p>
    <w:p>
      <w:pPr>
        <w:pStyle w:val="Heading2"/>
        <w:spacing w:after="140" w:before="280"/>
      </w:pPr>
      <w:r>
        <w:t xml:space="preserve">7.2 Balancing presenter and supporting visuals</w:t>
      </w:r>
    </w:p>
    <w:p>
      <w:pPr>
        <w:spacing w:after="160"/>
      </w:pPr>
      <w:r>
        <w:t xml:space="preserve">The working ratio for teaching videos is roughly 60–70% presenter on camera and 30–40% supporting visuals, applied by rule rather than taste. Cut away from the face when: a key term or definition is introduced (clean on-screen text); a framework or structure is explained (simple diagram); a number or statistic lands ($3 trillion appears as text the moment it is spoken); a story is told (relevant B-roll or stills so the viewer can picture it); a list is walked through (items appearing one by one); or, for tools and analytics videos, when demonstrating on screen (screen recordings of SQL, Power BI or spreadsheets, kept short and always narrated over — the face returns for every conclusion drawn from a demo). Stay on the face for: the hook, personal stories and emotional beats, direct challenges to the viewer, and the landing. Never let a graphic replace the presenter during the moments that build connection.</w:t>
      </w:r>
    </w:p>
    <w:p>
      <w:pPr>
        <w:spacing w:after="160"/>
      </w:pPr>
      <w:r>
        <w:t xml:space="preserve">Every visual must earn its place by reinforcing the exact sentence being spoken. Decorative B-roll that merely fills space trains viewers to stop watching the screen.</w:t>
      </w:r>
    </w:p>
    <w:p>
      <w:pPr>
        <w:pStyle w:val="Heading2"/>
        <w:spacing w:after="140" w:before="280"/>
      </w:pPr>
      <w:r>
        <w:t xml:space="preserve">7.3 Recurring visual elements</w:t>
      </w:r>
    </w:p>
    <w:p>
      <w:pPr>
        <w:spacing w:after="160"/>
      </w:pPr>
      <w:r>
        <w:t xml:space="preserve">A small set of repeatable assets keeps editing fast and the brand consistent: a title card style, one lower-third for the presenter's name and credential, one text style for definitions and statistics, a simple diagram template in brand colours, and a consistent screen-recording frame for tool demonstrations. Pillar-level intro stings are optional and only added once the weekly pipeline is comfortable.</w:t>
      </w:r>
    </w:p>
    <w:p>
      <w:pPr>
        <w:pStyle w:val="Heading2"/>
        <w:spacing w:after="140" w:before="280"/>
      </w:pPr>
      <w:r>
        <w:t xml:space="preserve">7.4 Editing guidelines</w:t>
      </w:r>
    </w:p>
    <w:p>
      <w:pPr>
        <w:spacing w:after="160"/>
      </w:pPr>
      <w:r>
        <w:t xml:space="preserve">Editing serves retention, not spectacle. Trim breaths and dead air but preserve natural rhythm — no machine-gun jump-cut pacing, which fights the calm register. Add a subtle audio or visual accent when key numbers or terms appear. Keep on-screen text short enough to read twice at speaking pace. End-screen the final 20 seconds with the next-video element matching the spoken trailer. Before export, watch the first minute as a stranger: if attention drifts, fix the edit, not the description.</w:t>
      </w:r>
    </w:p>
    <w:p>
      <w:pPr>
        <w:pStyle w:val="Heading1"/>
        <w:spacing w:after="180" w:before="360"/>
      </w:pPr>
      <w:r>
        <w:t xml:space="preserve">8. Publishing Cadence and Workflow</w:t>
      </w:r>
    </w:p>
    <w:p>
      <w:pPr>
        <w:spacing w:after="160"/>
      </w:pPr>
      <w:r>
        <w:t xml:space="preserve">Cadence is one video per week, on a fixed day, protected as a hard commitment. This is a deliberate choice against twice-weekly: the channel is run alongside a demanding day job and other ventures, and an unbroken weekly record beats a faster schedule followed by burnout. Spare capacity goes into banking a buffer of two to three finished videos, never into increasing cadence.</w:t>
      </w:r>
    </w:p>
    <w:p>
      <w:pPr>
        <w:spacing w:after="160"/>
      </w:pPr>
      <w:r>
        <w:t xml:space="preserve">Weekly pipeline: script (using the review workflow) → film (batch two videos per session where possible, since setup is the fixed cost) → edit → package (title, thumbnail, description, tags per section 4.2) → publish → 15 minutes with analytics noting what the retention graph says about the previous video.</w:t>
      </w:r>
    </w:p>
    <w:p>
      <w:pPr>
        <w:spacing w:after="160"/>
      </w:pPr>
      <w:r>
        <w:t xml:space="preserve">Launch sequence: begin with video 1 (the identity piece — new but cheap to make), then alternate repackaged existing footage with new videos until the produced backlog is used up. This gets the channel to market fastest, wastes nothing, and immediately tests the new packaging against existing content in analytics.</w:t>
      </w:r>
    </w:p>
    <w:p>
      <w:pPr>
        <w:pStyle w:val="Heading1"/>
        <w:spacing w:after="180" w:before="360"/>
      </w:pPr>
      <w:r>
        <w:t xml:space="preserve">9. Measurement and Review</w:t>
      </w:r>
    </w:p>
    <w:p>
      <w:pPr>
        <w:spacing w:after="160"/>
      </w:pPr>
      <w:r>
        <w:t xml:space="preserve">The numbers that matter, in order: average view duration and the retention curve (where do people leave — the hook, a transition, a demo-heavy stretch?); click-through rate on impressions (is the packaging working?); search traffic share (are the keyword titles ranking?); then subscribers and views. Comments are read for two signals: which questions recur (future video ideas) and which stories people quote back (what actually landed). Pillar-level comparison matters too: after ten videos, the analytics will show which pillars this audience wants most, and the roadmap should tilt toward them without abandoning breadth.</w:t>
      </w:r>
    </w:p>
    <w:p>
      <w:pPr>
        <w:spacing w:after="160"/>
      </w:pPr>
      <w:r>
        <w:t xml:space="preserve">Review rhythm: a light weekly check per video, and a proper monthly review against this document — is the cadence holding, which pillars and content types retain best, and does the roadmap order still make sense given what the data says. This document is updated, not abandoned, when reality disagrees with it.</w:t>
      </w:r>
    </w:p>
    <w:p>
      <w:pPr>
        <w:pStyle w:val="Heading1"/>
        <w:spacing w:after="180" w:before="360"/>
      </w:pPr>
      <w:r>
        <w:t xml:space="preserve">10. Principles Worth Re-reading Before Every Video</w:t>
      </w:r>
    </w:p>
    <w:p>
      <w:pPr>
        <w:spacing w:after="160"/>
      </w:pPr>
      <w:r>
        <w:t xml:space="preserve">People subscribe to people first; the credential is worn lightly but worn always. Package psychology, not information — the felt problem is the hook, the knowledge is the payload. Teach from experience: the stories only this presenter can tell are the content nobody can copy. Depth beats coverage. Concrete beats abstract. Consistency beats intensity. Breadth across the pillars is the authority claim; the human face is the brand. And the channel's fundamental bet, restated: viewers don't come for a discipline or a book — they come to become great data professionals, guided by someone who already is one.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2026-07-19T12:56:45.465Z</dcterms:created>
  <dcterms:modified xsi:type="dcterms:W3CDTF">2026-07-19T12:56:45.480Z</dcterms:modified>
</cp:coreProperties>
</file>

<file path=docProps/custom.xml><?xml version="1.0" encoding="utf-8"?>
<Properties xmlns="http://schemas.openxmlformats.org/officeDocument/2006/custom-properties" xmlns:vt="http://schemas.openxmlformats.org/officeDocument/2006/docPropsVTypes"/>
</file>