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265" w:rsidRDefault="003B3265" w:rsidP="003B3265">
      <w:pPr>
        <w:jc w:val="center"/>
        <w:rPr>
          <w:rFonts w:ascii="微软雅黑" w:eastAsia="微软雅黑" w:hAnsi="微软雅黑"/>
          <w:b/>
        </w:rPr>
      </w:pPr>
      <w:r>
        <w:rPr>
          <w:rFonts w:ascii="微软雅黑" w:eastAsia="微软雅黑" w:hAnsi="微软雅黑" w:hint="eastAsia"/>
          <w:b/>
        </w:rPr>
        <w:t>第三章 财务报表的理解与预测</w:t>
      </w:r>
    </w:p>
    <w:p w:rsidR="003B3265" w:rsidRDefault="003B3265" w:rsidP="003B3265">
      <w:pPr>
        <w:jc w:val="center"/>
      </w:pPr>
    </w:p>
    <w:p w:rsidR="009776A5" w:rsidRPr="00E413F6" w:rsidRDefault="00E413F6" w:rsidP="00E413F6">
      <w:pPr>
        <w:pStyle w:val="a3"/>
        <w:numPr>
          <w:ilvl w:val="0"/>
          <w:numId w:val="1"/>
        </w:numPr>
        <w:ind w:firstLineChars="0"/>
      </w:pPr>
      <w:r>
        <w:rPr>
          <w:rFonts w:ascii="微软雅黑" w:eastAsia="微软雅黑" w:hAnsi="微软雅黑" w:hint="eastAsia"/>
          <w:sz w:val="18"/>
          <w:szCs w:val="18"/>
        </w:rPr>
        <w:t>财务决策者所需要的关于企业及其他机构的信息，大部分来源于那些每年或每季向股东公布的标准的财务报表。这些财务报表包括资产负债表、损益表和现金流量表。</w:t>
      </w:r>
    </w:p>
    <w:p w:rsidR="00E413F6" w:rsidRPr="00E34D22" w:rsidRDefault="00E34D22" w:rsidP="00E413F6">
      <w:pPr>
        <w:pStyle w:val="a3"/>
        <w:numPr>
          <w:ilvl w:val="0"/>
          <w:numId w:val="1"/>
        </w:numPr>
        <w:ind w:firstLineChars="0"/>
      </w:pPr>
      <w:r>
        <w:rPr>
          <w:rFonts w:ascii="微软雅黑" w:eastAsia="微软雅黑" w:hAnsi="微软雅黑" w:hint="eastAsia"/>
          <w:sz w:val="18"/>
          <w:szCs w:val="18"/>
        </w:rPr>
        <w:t>财务报表的三个重要经济功能：</w:t>
      </w:r>
    </w:p>
    <w:p w:rsidR="00E34D22" w:rsidRDefault="00E34D22" w:rsidP="00E34D22">
      <w:pPr>
        <w:pStyle w:val="a3"/>
        <w:numPr>
          <w:ilvl w:val="0"/>
          <w:numId w:val="2"/>
        </w:numPr>
        <w:ind w:firstLineChars="0"/>
        <w:rPr>
          <w:rFonts w:ascii="微软雅黑" w:eastAsia="微软雅黑" w:hAnsi="微软雅黑"/>
          <w:sz w:val="18"/>
          <w:szCs w:val="18"/>
        </w:rPr>
      </w:pPr>
      <w:r w:rsidRPr="00E34D22">
        <w:rPr>
          <w:rFonts w:ascii="微软雅黑" w:eastAsia="微软雅黑" w:hAnsi="微软雅黑" w:hint="eastAsia"/>
          <w:sz w:val="18"/>
          <w:szCs w:val="18"/>
        </w:rPr>
        <w:t>向公司的所有者和债权人提供关于公司目前状况</w:t>
      </w:r>
      <w:r>
        <w:rPr>
          <w:rFonts w:ascii="微软雅黑" w:eastAsia="微软雅黑" w:hAnsi="微软雅黑" w:hint="eastAsia"/>
          <w:sz w:val="18"/>
          <w:szCs w:val="18"/>
        </w:rPr>
        <w:t>及过去财务表现的信息。</w:t>
      </w:r>
    </w:p>
    <w:p w:rsidR="00E34D22" w:rsidRDefault="00E75BC6" w:rsidP="00E34D22">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为所有者及债权人设定经营目标，对管理层施加限制提供了便捷的方式。</w:t>
      </w:r>
    </w:p>
    <w:p w:rsidR="00E75BC6" w:rsidRPr="00E34D22" w:rsidRDefault="00CF3ADA" w:rsidP="00E34D22">
      <w:pPr>
        <w:pStyle w:val="a3"/>
        <w:numPr>
          <w:ilvl w:val="0"/>
          <w:numId w:val="2"/>
        </w:numPr>
        <w:ind w:firstLineChars="0"/>
        <w:rPr>
          <w:rFonts w:ascii="微软雅黑" w:eastAsia="微软雅黑" w:hAnsi="微软雅黑"/>
          <w:sz w:val="18"/>
          <w:szCs w:val="18"/>
        </w:rPr>
      </w:pPr>
      <w:r>
        <w:rPr>
          <w:rFonts w:ascii="微软雅黑" w:eastAsia="微软雅黑" w:hAnsi="微软雅黑" w:hint="eastAsia"/>
          <w:sz w:val="18"/>
          <w:szCs w:val="18"/>
        </w:rPr>
        <w:t>为财务计划提供了方便的模式。</w:t>
      </w:r>
    </w:p>
    <w:p w:rsidR="00E34D22" w:rsidRDefault="0042736D"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资产负债表：显示了公司在某一时点的资产和负债。</w:t>
      </w:r>
    </w:p>
    <w:p w:rsidR="0042736D" w:rsidRDefault="0042736D" w:rsidP="0042736D">
      <w:pPr>
        <w:pStyle w:val="a3"/>
        <w:ind w:left="420" w:firstLineChars="0" w:firstLine="0"/>
        <w:rPr>
          <w:rFonts w:ascii="微软雅黑" w:eastAsia="微软雅黑" w:hAnsi="微软雅黑"/>
          <w:sz w:val="18"/>
          <w:szCs w:val="18"/>
        </w:rPr>
      </w:pPr>
      <w:r>
        <w:rPr>
          <w:rFonts w:ascii="微软雅黑" w:eastAsia="微软雅黑" w:hAnsi="微软雅黑" w:hint="eastAsia"/>
          <w:sz w:val="18"/>
          <w:szCs w:val="18"/>
        </w:rPr>
        <w:t>损益表：归纳了公司在一段时期内的盈利性。</w:t>
      </w:r>
    </w:p>
    <w:p w:rsidR="0042736D" w:rsidRDefault="0042736D" w:rsidP="0042736D">
      <w:pPr>
        <w:pStyle w:val="a3"/>
        <w:ind w:left="420" w:firstLineChars="0" w:firstLine="0"/>
        <w:rPr>
          <w:rFonts w:ascii="微软雅黑" w:eastAsia="微软雅黑" w:hAnsi="微软雅黑"/>
          <w:sz w:val="18"/>
          <w:szCs w:val="18"/>
        </w:rPr>
      </w:pPr>
      <w:r>
        <w:rPr>
          <w:rFonts w:ascii="微软雅黑" w:eastAsia="微软雅黑" w:hAnsi="微软雅黑" w:hint="eastAsia"/>
          <w:sz w:val="18"/>
          <w:szCs w:val="18"/>
        </w:rPr>
        <w:t>现金流量表：表示一段时期内流入流出公司的所有现金。</w:t>
      </w:r>
    </w:p>
    <w:p w:rsidR="0042736D" w:rsidRDefault="009B5523"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现金流量表是损益表的一个有益补充，</w:t>
      </w:r>
      <w:r w:rsidR="00C31CD1">
        <w:rPr>
          <w:rFonts w:ascii="微软雅黑" w:eastAsia="微软雅黑" w:hAnsi="微软雅黑" w:hint="eastAsia"/>
          <w:sz w:val="18"/>
          <w:szCs w:val="18"/>
        </w:rPr>
        <w:t>主要因为：</w:t>
      </w:r>
    </w:p>
    <w:p w:rsidR="00C31CD1" w:rsidRDefault="00C31CD1" w:rsidP="00C31CD1">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现金流量表集中关注一段时期内现金</w:t>
      </w:r>
      <w:r w:rsidR="005D0465">
        <w:rPr>
          <w:rFonts w:ascii="微软雅黑" w:eastAsia="微软雅黑" w:hAnsi="微软雅黑" w:hint="eastAsia"/>
          <w:sz w:val="18"/>
          <w:szCs w:val="18"/>
        </w:rPr>
        <w:t>头</w:t>
      </w:r>
      <w:r>
        <w:rPr>
          <w:rFonts w:ascii="微软雅黑" w:eastAsia="微软雅黑" w:hAnsi="微软雅黑" w:hint="eastAsia"/>
          <w:sz w:val="18"/>
          <w:szCs w:val="18"/>
        </w:rPr>
        <w:t>寸的变化；</w:t>
      </w:r>
    </w:p>
    <w:p w:rsidR="00C31CD1" w:rsidRDefault="005D0465" w:rsidP="00C31CD1">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现金流量表回避了损益表中对收入与费用的确认。</w:t>
      </w:r>
    </w:p>
    <w:p w:rsidR="00C31CD1" w:rsidRDefault="0074683B"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账面</w:t>
      </w:r>
      <w:r>
        <w:rPr>
          <w:rFonts w:ascii="微软雅黑" w:eastAsia="微软雅黑" w:hAnsi="微软雅黑" w:hint="eastAsia"/>
          <w:sz w:val="18"/>
          <w:szCs w:val="18"/>
        </w:rPr>
        <w:t>价值</w:t>
      </w:r>
      <w:r w:rsidR="00384FEF">
        <w:rPr>
          <w:rFonts w:ascii="微软雅黑" w:eastAsia="微软雅黑" w:hAnsi="微软雅黑" w:hint="eastAsia"/>
          <w:sz w:val="18"/>
          <w:szCs w:val="18"/>
        </w:rPr>
        <w:t>：资</w:t>
      </w:r>
      <w:r>
        <w:rPr>
          <w:rFonts w:ascii="微软雅黑" w:eastAsia="微软雅黑" w:hAnsi="微软雅黑"/>
          <w:sz w:val="18"/>
          <w:szCs w:val="18"/>
        </w:rPr>
        <w:t>产和所有者权益的法定的会计价格。</w:t>
      </w:r>
    </w:p>
    <w:p w:rsidR="0074683B" w:rsidRDefault="0074683B"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公司每股账面价值：表中股东权益账户的数值除以发行在外的普通股股数。</w:t>
      </w:r>
    </w:p>
    <w:p w:rsidR="003E1597" w:rsidRDefault="003E1597"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公司股票的市场价格不等于其账面价值的两个原因：</w:t>
      </w:r>
    </w:p>
    <w:p w:rsidR="003E1597" w:rsidRDefault="003E1597" w:rsidP="003E1597">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账面价值没有包含公司所有的资产和负债；</w:t>
      </w:r>
    </w:p>
    <w:p w:rsidR="003E1597" w:rsidRDefault="003E1597" w:rsidP="003E1597">
      <w:pPr>
        <w:pStyle w:val="a3"/>
        <w:numPr>
          <w:ilvl w:val="0"/>
          <w:numId w:val="4"/>
        </w:numPr>
        <w:ind w:firstLineChars="0"/>
        <w:rPr>
          <w:rFonts w:ascii="微软雅黑" w:eastAsia="微软雅黑" w:hAnsi="微软雅黑"/>
          <w:sz w:val="18"/>
          <w:szCs w:val="18"/>
        </w:rPr>
      </w:pPr>
      <w:r>
        <w:rPr>
          <w:rFonts w:ascii="微软雅黑" w:eastAsia="微软雅黑" w:hAnsi="微软雅黑" w:hint="eastAsia"/>
          <w:sz w:val="18"/>
          <w:szCs w:val="18"/>
        </w:rPr>
        <w:t>公司正式的资产负债表中资产与负债是按历史成本折扣折旧计价，而不是按目前市场价格计价。</w:t>
      </w:r>
    </w:p>
    <w:p w:rsidR="003E1597" w:rsidRDefault="005A00E2"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市场标价：将一个公司的资产与负债按当前的市场价格重新估价和报告。</w:t>
      </w:r>
    </w:p>
    <w:p w:rsidR="005A00E2" w:rsidRDefault="00D85EBB"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收益的定义：在保持期初财富水平的前提下，一段时期内你可以支出的数额。</w:t>
      </w:r>
    </w:p>
    <w:p w:rsidR="00D85EBB" w:rsidRDefault="00992EFF"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EVE（经济附加值）定义为净税后经营利润减去产出这些利润所占用资本金的成本。</w:t>
      </w:r>
    </w:p>
    <w:p w:rsidR="00264E72" w:rsidRDefault="00F978AF"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营利能力可以从销售（销售利润率）、资产（资产收益率）和资本（净资产收益率）三方面来衡量。</w:t>
      </w:r>
      <w:r w:rsidR="009123CC">
        <w:rPr>
          <w:rFonts w:ascii="微软雅黑" w:eastAsia="微软雅黑" w:hAnsi="微软雅黑" w:hint="eastAsia"/>
          <w:sz w:val="18"/>
          <w:szCs w:val="18"/>
        </w:rPr>
        <w:t>销售利润率和资产收益率中的收益是减除利息和</w:t>
      </w:r>
      <w:r w:rsidR="009123CC" w:rsidRPr="0058135A">
        <w:rPr>
          <w:rFonts w:ascii="微软雅黑" w:eastAsia="微软雅黑" w:hAnsi="微软雅黑" w:hint="eastAsia"/>
          <w:sz w:val="18"/>
          <w:szCs w:val="18"/>
          <w:u w:val="single"/>
        </w:rPr>
        <w:t>税前收益额</w:t>
      </w:r>
      <w:r w:rsidR="00E17FEE" w:rsidRPr="0058135A">
        <w:rPr>
          <w:rFonts w:ascii="微软雅黑" w:eastAsia="微软雅黑" w:hAnsi="微软雅黑" w:hint="eastAsia"/>
          <w:sz w:val="18"/>
          <w:szCs w:val="18"/>
          <w:u w:val="single"/>
        </w:rPr>
        <w:t>（EBIT）</w:t>
      </w:r>
      <w:r w:rsidR="009123CC">
        <w:rPr>
          <w:rFonts w:ascii="微软雅黑" w:eastAsia="微软雅黑" w:hAnsi="微软雅黑" w:hint="eastAsia"/>
          <w:sz w:val="18"/>
          <w:szCs w:val="18"/>
        </w:rPr>
        <w:t>，净资产收益率中的收益是净收益。</w:t>
      </w:r>
    </w:p>
    <w:p w:rsidR="00F978AF" w:rsidRDefault="00F978AF"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资产周转比例，评价公司使用资产产出利润的能力，是个广义指标。应收账款周转率和存货周转率是针对某些特定资产类别的特殊指标。</w:t>
      </w:r>
    </w:p>
    <w:p w:rsidR="00F978AF" w:rsidRDefault="00585F46"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财务杠杆比例，揭示了公司的资本结构及其负担债务的程度。债务比率衡量资本结构，利息收益比率表示公司偿付利息的能力。</w:t>
      </w:r>
    </w:p>
    <w:p w:rsidR="00585F46" w:rsidRDefault="00585F46"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流动性比率，衡量公司偿还其短期债务或支付账单并保持清偿力的能力。衡量流动性的主要比率</w:t>
      </w:r>
      <w:r w:rsidR="00796952">
        <w:rPr>
          <w:rFonts w:ascii="微软雅黑" w:eastAsia="微软雅黑" w:hAnsi="微软雅黑" w:hint="eastAsia"/>
          <w:sz w:val="18"/>
          <w:szCs w:val="18"/>
        </w:rPr>
        <w:t>是流动比率或更严格的速动比率（也叫酸性检测），后者只考虑流动性最强的短期资产：现金和有价证券。</w:t>
      </w:r>
    </w:p>
    <w:p w:rsidR="00570948" w:rsidRDefault="001D7D7A"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市场价格比率，衡量公司的会计结果与市场价格之间的关系。常见的比率有市盈率和净资产比率。</w:t>
      </w:r>
    </w:p>
    <w:p w:rsidR="00016957" w:rsidRDefault="007A737E" w:rsidP="00E413F6">
      <w:pPr>
        <w:pStyle w:val="a3"/>
        <w:numPr>
          <w:ilvl w:val="0"/>
          <w:numId w:val="1"/>
        </w:numPr>
        <w:ind w:firstLineChars="0"/>
        <w:rPr>
          <w:rFonts w:ascii="微软雅黑" w:eastAsia="微软雅黑" w:hAnsi="微软雅黑"/>
          <w:sz w:val="18"/>
          <w:szCs w:val="18"/>
        </w:rPr>
      </w:pPr>
      <w:r>
        <w:rPr>
          <w:rFonts w:ascii="微软雅黑" w:eastAsia="微软雅黑" w:hAnsi="微软雅黑"/>
          <w:sz w:val="18"/>
          <w:szCs w:val="18"/>
        </w:rPr>
        <w:t>分析公司财务比率时</w:t>
      </w:r>
      <w:r>
        <w:rPr>
          <w:rFonts w:ascii="微软雅黑" w:eastAsia="微软雅黑" w:hAnsi="微软雅黑" w:hint="eastAsia"/>
          <w:sz w:val="18"/>
          <w:szCs w:val="18"/>
        </w:rPr>
        <w:t>，</w:t>
      </w:r>
      <w:r>
        <w:rPr>
          <w:rFonts w:ascii="微软雅黑" w:eastAsia="微软雅黑" w:hAnsi="微软雅黑"/>
          <w:sz w:val="18"/>
          <w:szCs w:val="18"/>
        </w:rPr>
        <w:t>必须明确两点</w:t>
      </w:r>
      <w:r>
        <w:rPr>
          <w:rFonts w:ascii="微软雅黑" w:eastAsia="微软雅黑" w:hAnsi="微软雅黑" w:hint="eastAsia"/>
          <w:sz w:val="18"/>
          <w:szCs w:val="18"/>
        </w:rPr>
        <w:t>：</w:t>
      </w:r>
      <w:r>
        <w:rPr>
          <w:rFonts w:ascii="微软雅黑" w:eastAsia="微软雅黑" w:hAnsi="微软雅黑"/>
          <w:sz w:val="18"/>
          <w:szCs w:val="18"/>
        </w:rPr>
        <w:t>采用谁的观点</w:t>
      </w:r>
      <w:r>
        <w:rPr>
          <w:rFonts w:ascii="微软雅黑" w:eastAsia="微软雅黑" w:hAnsi="微软雅黑" w:hint="eastAsia"/>
          <w:sz w:val="18"/>
          <w:szCs w:val="18"/>
        </w:rPr>
        <w:t>（股东、债权人、其他权益人）</w:t>
      </w:r>
      <w:r>
        <w:rPr>
          <w:rFonts w:ascii="微软雅黑" w:eastAsia="微软雅黑" w:hAnsi="微软雅黑"/>
          <w:sz w:val="18"/>
          <w:szCs w:val="18"/>
        </w:rPr>
        <w:t>和作为比较标准的基准比率</w:t>
      </w:r>
      <w:r>
        <w:rPr>
          <w:rFonts w:ascii="微软雅黑" w:eastAsia="微软雅黑" w:hAnsi="微软雅黑" w:hint="eastAsia"/>
          <w:sz w:val="18"/>
          <w:szCs w:val="18"/>
        </w:rPr>
        <w:t>。</w:t>
      </w:r>
    </w:p>
    <w:p w:rsidR="007A737E" w:rsidRDefault="000A4AFA" w:rsidP="00E413F6">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基准比率可以有三类：同一时期其他公司的财务比率、公司自身以前的财务比率和从金融市场上归纳出来的资产价格和利率等信息。</w:t>
      </w:r>
    </w:p>
    <w:p w:rsidR="002E068E" w:rsidRDefault="002E068E" w:rsidP="00E413F6">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流动存货和流动负债的差额叫做运营资金。</w:t>
      </w:r>
    </w:p>
    <w:p w:rsidR="002E068E" w:rsidRDefault="002E068E" w:rsidP="00E413F6">
      <w:pPr>
        <w:pStyle w:val="a3"/>
        <w:numPr>
          <w:ilvl w:val="0"/>
          <w:numId w:val="1"/>
        </w:numPr>
        <w:ind w:firstLineChars="0"/>
        <w:rPr>
          <w:rFonts w:ascii="微软雅黑" w:eastAsia="微软雅黑" w:hAnsi="微软雅黑" w:hint="eastAsia"/>
          <w:sz w:val="18"/>
          <w:szCs w:val="18"/>
        </w:rPr>
      </w:pPr>
      <w:r>
        <w:rPr>
          <w:rFonts w:ascii="微软雅黑" w:eastAsia="微软雅黑" w:hAnsi="微软雅黑" w:hint="eastAsia"/>
          <w:sz w:val="18"/>
          <w:szCs w:val="18"/>
        </w:rPr>
        <w:t>现金周转时间是公司从支付现金给供应商到从客户那里收回现金之前的天数。</w:t>
      </w:r>
    </w:p>
    <w:p w:rsidR="003C6F76" w:rsidRPr="00EC3F63" w:rsidRDefault="003C6F76" w:rsidP="003C6F76">
      <w:pPr>
        <w:pStyle w:val="a3"/>
        <w:ind w:left="420" w:firstLineChars="0" w:firstLine="0"/>
        <w:rPr>
          <w:rFonts w:ascii="微软雅黑" w:eastAsia="微软雅黑" w:hAnsi="微软雅黑" w:hint="eastAsia"/>
          <w:b/>
          <w:sz w:val="18"/>
          <w:szCs w:val="18"/>
        </w:rPr>
      </w:pPr>
      <w:r w:rsidRPr="00EC3F63">
        <w:rPr>
          <w:rFonts w:ascii="微软雅黑" w:eastAsia="微软雅黑" w:hAnsi="微软雅黑" w:hint="eastAsia"/>
          <w:b/>
          <w:sz w:val="18"/>
          <w:szCs w:val="18"/>
        </w:rPr>
        <w:t>现金周转时间=存货时间+应收账款时间-应付账款时间</w:t>
      </w:r>
    </w:p>
    <w:p w:rsidR="002E068E" w:rsidRDefault="002E068E" w:rsidP="002E068E">
      <w:pPr>
        <w:pStyle w:val="a3"/>
        <w:ind w:left="420" w:firstLineChars="0" w:firstLine="0"/>
        <w:rPr>
          <w:rFonts w:ascii="微软雅黑" w:eastAsia="微软雅黑" w:hAnsi="微软雅黑"/>
          <w:sz w:val="18"/>
          <w:szCs w:val="18"/>
        </w:rPr>
      </w:pPr>
      <w:r>
        <w:rPr>
          <w:rFonts w:ascii="微软雅黑" w:eastAsia="微软雅黑" w:hAnsi="微软雅黑"/>
          <w:noProof/>
          <w:sz w:val="18"/>
          <w:szCs w:val="18"/>
        </w:rPr>
        <w:lastRenderedPageBreak/>
        <w:drawing>
          <wp:inline distT="0" distB="0" distL="0" distR="0">
            <wp:extent cx="4974369" cy="12690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80895" cy="1270680"/>
                    </a:xfrm>
                    <a:prstGeom prst="rect">
                      <a:avLst/>
                    </a:prstGeom>
                    <a:noFill/>
                    <a:ln w="9525">
                      <a:noFill/>
                      <a:miter lim="800000"/>
                      <a:headEnd/>
                      <a:tailEnd/>
                    </a:ln>
                  </pic:spPr>
                </pic:pic>
              </a:graphicData>
            </a:graphic>
          </wp:inline>
        </w:drawing>
      </w:r>
    </w:p>
    <w:p w:rsidR="002E068E" w:rsidRDefault="002E068E" w:rsidP="00B16491">
      <w:pPr>
        <w:pStyle w:val="a3"/>
        <w:widowControl/>
        <w:numPr>
          <w:ilvl w:val="0"/>
          <w:numId w:val="1"/>
        </w:numPr>
        <w:ind w:firstLineChars="0"/>
        <w:jc w:val="left"/>
        <w:rPr>
          <w:rFonts w:ascii="宋体" w:eastAsia="宋体" w:hAnsi="宋体" w:cs="宋体" w:hint="eastAsia"/>
          <w:kern w:val="0"/>
          <w:sz w:val="24"/>
          <w:szCs w:val="24"/>
        </w:rPr>
      </w:pPr>
    </w:p>
    <w:p w:rsidR="00B16491" w:rsidRPr="00B16491" w:rsidRDefault="00B16491" w:rsidP="002E068E">
      <w:pPr>
        <w:pStyle w:val="a3"/>
        <w:widowControl/>
        <w:ind w:left="420" w:firstLineChars="0" w:firstLine="0"/>
        <w:jc w:val="left"/>
        <w:rPr>
          <w:rFonts w:ascii="宋体" w:eastAsia="宋体" w:hAnsi="宋体" w:cs="宋体"/>
          <w:kern w:val="0"/>
          <w:sz w:val="24"/>
          <w:szCs w:val="24"/>
        </w:rPr>
      </w:pPr>
      <w:r>
        <w:rPr>
          <w:noProof/>
          <w:kern w:val="0"/>
        </w:rPr>
        <w:drawing>
          <wp:inline distT="0" distB="0" distL="0" distR="0">
            <wp:extent cx="3546475" cy="6647180"/>
            <wp:effectExtent l="19050" t="0" r="0" b="0"/>
            <wp:docPr id="6" name="图片 6" descr="G:\Program Files\Tencent\Tencent Files\326579303\Image\C2C\LPPYA$_L~)N(D[4IKUU{7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gram Files\Tencent\Tencent Files\326579303\Image\C2C\LPPYA$_L~)N(D[4IKUU{7AG.png"/>
                    <pic:cNvPicPr>
                      <a:picLocks noChangeAspect="1" noChangeArrowheads="1"/>
                    </pic:cNvPicPr>
                  </pic:nvPicPr>
                  <pic:blipFill>
                    <a:blip r:embed="rId9"/>
                    <a:srcRect/>
                    <a:stretch>
                      <a:fillRect/>
                    </a:stretch>
                  </pic:blipFill>
                  <pic:spPr bwMode="auto">
                    <a:xfrm>
                      <a:off x="0" y="0"/>
                      <a:ext cx="3546475" cy="6647180"/>
                    </a:xfrm>
                    <a:prstGeom prst="rect">
                      <a:avLst/>
                    </a:prstGeom>
                    <a:noFill/>
                    <a:ln w="9525">
                      <a:noFill/>
                      <a:miter lim="800000"/>
                      <a:headEnd/>
                      <a:tailEnd/>
                    </a:ln>
                  </pic:spPr>
                </pic:pic>
              </a:graphicData>
            </a:graphic>
          </wp:inline>
        </w:drawing>
      </w:r>
    </w:p>
    <w:p w:rsidR="000A4AFA" w:rsidRPr="0042736D" w:rsidRDefault="000A4AFA" w:rsidP="00E413F6">
      <w:pPr>
        <w:pStyle w:val="a3"/>
        <w:numPr>
          <w:ilvl w:val="0"/>
          <w:numId w:val="1"/>
        </w:numPr>
        <w:ind w:firstLineChars="0"/>
        <w:rPr>
          <w:rFonts w:ascii="微软雅黑" w:eastAsia="微软雅黑" w:hAnsi="微软雅黑"/>
          <w:sz w:val="18"/>
          <w:szCs w:val="18"/>
        </w:rPr>
      </w:pPr>
    </w:p>
    <w:sectPr w:rsidR="000A4AFA" w:rsidRPr="0042736D" w:rsidSect="00977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591" w:rsidRDefault="00994591" w:rsidP="0042736D">
      <w:r>
        <w:separator/>
      </w:r>
    </w:p>
  </w:endnote>
  <w:endnote w:type="continuationSeparator" w:id="1">
    <w:p w:rsidR="00994591" w:rsidRDefault="00994591" w:rsidP="004273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591" w:rsidRDefault="00994591" w:rsidP="0042736D">
      <w:r>
        <w:separator/>
      </w:r>
    </w:p>
  </w:footnote>
  <w:footnote w:type="continuationSeparator" w:id="1">
    <w:p w:rsidR="00994591" w:rsidRDefault="00994591" w:rsidP="004273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6E3F"/>
    <w:multiLevelType w:val="hybridMultilevel"/>
    <w:tmpl w:val="7C544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CF2034"/>
    <w:multiLevelType w:val="hybridMultilevel"/>
    <w:tmpl w:val="96A845B2"/>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70413935"/>
    <w:multiLevelType w:val="hybridMultilevel"/>
    <w:tmpl w:val="BD32AB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1AD5360"/>
    <w:multiLevelType w:val="hybridMultilevel"/>
    <w:tmpl w:val="BCE89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3265"/>
    <w:rsid w:val="00016957"/>
    <w:rsid w:val="00061F3D"/>
    <w:rsid w:val="000A4AFA"/>
    <w:rsid w:val="00121150"/>
    <w:rsid w:val="001D7D7A"/>
    <w:rsid w:val="00264E72"/>
    <w:rsid w:val="002C2121"/>
    <w:rsid w:val="002E068E"/>
    <w:rsid w:val="00384FEF"/>
    <w:rsid w:val="003B3265"/>
    <w:rsid w:val="003C6F76"/>
    <w:rsid w:val="003E1597"/>
    <w:rsid w:val="004004BC"/>
    <w:rsid w:val="0042736D"/>
    <w:rsid w:val="00570948"/>
    <w:rsid w:val="0058135A"/>
    <w:rsid w:val="00585F46"/>
    <w:rsid w:val="00586B9A"/>
    <w:rsid w:val="005A00E2"/>
    <w:rsid w:val="005D0465"/>
    <w:rsid w:val="007008A9"/>
    <w:rsid w:val="0074683B"/>
    <w:rsid w:val="00796952"/>
    <w:rsid w:val="007A737E"/>
    <w:rsid w:val="00844641"/>
    <w:rsid w:val="009123CC"/>
    <w:rsid w:val="009776A5"/>
    <w:rsid w:val="00992EFF"/>
    <w:rsid w:val="00994591"/>
    <w:rsid w:val="009B5523"/>
    <w:rsid w:val="00B16491"/>
    <w:rsid w:val="00C31CD1"/>
    <w:rsid w:val="00CF3ADA"/>
    <w:rsid w:val="00D85EBB"/>
    <w:rsid w:val="00E17FEE"/>
    <w:rsid w:val="00E34D22"/>
    <w:rsid w:val="00E413F6"/>
    <w:rsid w:val="00E60A80"/>
    <w:rsid w:val="00E75BC6"/>
    <w:rsid w:val="00EC3F63"/>
    <w:rsid w:val="00EE710F"/>
    <w:rsid w:val="00F978AF"/>
    <w:rsid w:val="00FA58EA"/>
    <w:rsid w:val="00FD07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2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13F6"/>
    <w:pPr>
      <w:ind w:firstLineChars="200" w:firstLine="420"/>
    </w:pPr>
  </w:style>
  <w:style w:type="paragraph" w:styleId="a4">
    <w:name w:val="header"/>
    <w:basedOn w:val="a"/>
    <w:link w:val="Char"/>
    <w:uiPriority w:val="99"/>
    <w:semiHidden/>
    <w:unhideWhenUsed/>
    <w:rsid w:val="00427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2736D"/>
    <w:rPr>
      <w:sz w:val="18"/>
      <w:szCs w:val="18"/>
    </w:rPr>
  </w:style>
  <w:style w:type="paragraph" w:styleId="a5">
    <w:name w:val="footer"/>
    <w:basedOn w:val="a"/>
    <w:link w:val="Char0"/>
    <w:uiPriority w:val="99"/>
    <w:semiHidden/>
    <w:unhideWhenUsed/>
    <w:rsid w:val="0042736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2736D"/>
    <w:rPr>
      <w:sz w:val="18"/>
      <w:szCs w:val="18"/>
    </w:rPr>
  </w:style>
  <w:style w:type="paragraph" w:styleId="a6">
    <w:name w:val="Balloon Text"/>
    <w:basedOn w:val="a"/>
    <w:link w:val="Char1"/>
    <w:uiPriority w:val="99"/>
    <w:semiHidden/>
    <w:unhideWhenUsed/>
    <w:rsid w:val="00B16491"/>
    <w:rPr>
      <w:sz w:val="18"/>
      <w:szCs w:val="18"/>
    </w:rPr>
  </w:style>
  <w:style w:type="character" w:customStyle="1" w:styleId="Char1">
    <w:name w:val="批注框文本 Char"/>
    <w:basedOn w:val="a0"/>
    <w:link w:val="a6"/>
    <w:uiPriority w:val="99"/>
    <w:semiHidden/>
    <w:rsid w:val="00B16491"/>
    <w:rPr>
      <w:sz w:val="18"/>
      <w:szCs w:val="18"/>
    </w:rPr>
  </w:style>
</w:styles>
</file>

<file path=word/webSettings.xml><?xml version="1.0" encoding="utf-8"?>
<w:webSettings xmlns:r="http://schemas.openxmlformats.org/officeDocument/2006/relationships" xmlns:w="http://schemas.openxmlformats.org/wordprocessingml/2006/main">
  <w:divs>
    <w:div w:id="242110470">
      <w:bodyDiv w:val="1"/>
      <w:marLeft w:val="0"/>
      <w:marRight w:val="0"/>
      <w:marTop w:val="0"/>
      <w:marBottom w:val="0"/>
      <w:divBdr>
        <w:top w:val="none" w:sz="0" w:space="0" w:color="auto"/>
        <w:left w:val="none" w:sz="0" w:space="0" w:color="auto"/>
        <w:bottom w:val="none" w:sz="0" w:space="0" w:color="auto"/>
        <w:right w:val="none" w:sz="0" w:space="0" w:color="auto"/>
      </w:divBdr>
      <w:divsChild>
        <w:div w:id="303780540">
          <w:marLeft w:val="0"/>
          <w:marRight w:val="0"/>
          <w:marTop w:val="0"/>
          <w:marBottom w:val="0"/>
          <w:divBdr>
            <w:top w:val="none" w:sz="0" w:space="0" w:color="auto"/>
            <w:left w:val="none" w:sz="0" w:space="0" w:color="auto"/>
            <w:bottom w:val="none" w:sz="0" w:space="0" w:color="auto"/>
            <w:right w:val="none" w:sz="0" w:space="0" w:color="auto"/>
          </w:divBdr>
        </w:div>
      </w:divsChild>
    </w:div>
    <w:div w:id="1667198382">
      <w:bodyDiv w:val="1"/>
      <w:marLeft w:val="0"/>
      <w:marRight w:val="0"/>
      <w:marTop w:val="0"/>
      <w:marBottom w:val="0"/>
      <w:divBdr>
        <w:top w:val="none" w:sz="0" w:space="0" w:color="auto"/>
        <w:left w:val="none" w:sz="0" w:space="0" w:color="auto"/>
        <w:bottom w:val="none" w:sz="0" w:space="0" w:color="auto"/>
        <w:right w:val="none" w:sz="0" w:space="0" w:color="auto"/>
      </w:divBdr>
      <w:divsChild>
        <w:div w:id="1145120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5F19D-FDDF-4C71-A6AE-CAEE079DA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40</cp:revision>
  <dcterms:created xsi:type="dcterms:W3CDTF">2016-07-13T12:20:00Z</dcterms:created>
  <dcterms:modified xsi:type="dcterms:W3CDTF">2016-07-20T13:01:00Z</dcterms:modified>
</cp:coreProperties>
</file>