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第五章 生命周期理财计划</w:t>
      </w:r>
    </w:p>
    <w:p>
      <w:pPr>
        <w:pStyle w:val="Normal.0"/>
        <w:jc w:val="center"/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收入、初始财产、遗产对终生消费的作用：</w:t>
      </w:r>
    </w:p>
    <w:p>
      <w:pPr>
        <w:pStyle w:val="List Paragraph"/>
        <w:ind w:left="420" w:firstLine="0"/>
      </w:pPr>
    </w:p>
    <w:p>
      <w:pPr>
        <w:pStyle w:val="List Paragraph"/>
        <w:ind w:left="420" w:firstLine="0"/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其中为第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t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年的遗产，为第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i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年的消费水平，为初始财产，为第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j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年的劳动收入，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r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为实际年利率，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n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为生存年数。</w:t>
      </w:r>
    </w:p>
    <w:p>
      <w:pPr>
        <w:pStyle w:val="List Paragraph"/>
        <w:ind w:left="420" w:firstLine="0"/>
      </w:pPr>
    </w:p>
    <w:p>
      <w:pPr>
        <w:pStyle w:val="Normal.0"/>
        <w:jc w:val="center"/>
      </w:pPr>
      <w:r>
        <w:rPr>
          <w:rFonts w:ascii="微软雅黑" w:cs="微软雅黑" w:hAnsi="微软雅黑" w:eastAsia="微软雅黑"/>
          <w:b w:val="1"/>
          <w:bCs w:val="1"/>
          <w:rtl w:val="0"/>
          <w:lang w:val="zh-TW" w:eastAsia="zh-TW"/>
        </w:rPr>
        <w:t>第六章 如何投资项目</w:t>
      </w:r>
    </w:p>
    <w:p>
      <w:pPr>
        <w:pStyle w:val="Normal.0"/>
        <w:jc w:val="center"/>
      </w:pP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投资的项目首先要有创意，然后再收集相关信息，估算成本和收益，并设计该项目的最佳实施战略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需要资本支出的投资项目分为新产品型／削减成本型和替换现有资产型。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CN" w:eastAsia="zh-CN"/>
        </w:rPr>
        <w:t>资本成本：现金流折算成现值的资本报酬率。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资本成本是计算项目净现值时所采用的贴现率（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K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），贴现率会随风险的大小而做出相应调整。</w:t>
      </w:r>
      <w:r>
        <w:rPr>
          <w:rFonts w:ascii="微软雅黑" w:cs="微软雅黑" w:hAnsi="微软雅黑" w:eastAsia="微软雅黑"/>
          <w:sz w:val="18"/>
          <w:szCs w:val="18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CE8C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