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pPr>
      <w:r>
        <w:rPr>
          <w:rFonts w:ascii="微软雅黑" w:cs="微软雅黑" w:hAnsi="微软雅黑" w:eastAsia="微软雅黑"/>
          <w:b w:val="1"/>
          <w:bCs w:val="1"/>
          <w:sz w:val="24"/>
          <w:szCs w:val="24"/>
          <w:rtl w:val="0"/>
          <w:lang w:val="zh-TW" w:eastAsia="zh-TW"/>
        </w:rPr>
        <w:t>第十</w:t>
      </w:r>
      <w:r>
        <w:rPr>
          <w:rtl w:val="0"/>
          <w:lang w:val="zh-CN" w:eastAsia="zh-CN"/>
        </w:rPr>
        <w:t>六</w:t>
      </w:r>
      <w:r>
        <w:rPr>
          <w:rFonts w:ascii="微软雅黑" w:cs="微软雅黑" w:hAnsi="微软雅黑" w:eastAsia="微软雅黑"/>
          <w:b w:val="1"/>
          <w:bCs w:val="1"/>
          <w:sz w:val="24"/>
          <w:szCs w:val="24"/>
          <w:rtl w:val="0"/>
          <w:lang w:val="zh-TW" w:eastAsia="zh-TW"/>
        </w:rPr>
        <w:t xml:space="preserve">章 </w:t>
      </w:r>
      <w:r>
        <w:rPr>
          <w:rtl w:val="0"/>
          <w:lang w:val="zh-CN" w:eastAsia="zh-CN"/>
        </w:rPr>
        <w:t>资本结构</w:t>
      </w:r>
    </w:p>
    <w:p>
      <w:pPr>
        <w:pStyle w:val="Normal.0"/>
        <w:jc w:val="center"/>
      </w:pP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资本结构分析从无摩擦的金融环境下企业的资本机构开始。此时公司的价值才不受资本结构的影响。</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无摩擦的金融环境：没有税收或交易成本，合同可以无成本地制定和实施的金融环境。</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内部融资指公司通过运营获得资金。</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外部融资：公司通过外部的借款或投资者筹集资金。</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权益：公司清债完所有债务后剩余资产的所有权。</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三种类型的权益索求权：普通股／股票期权／优先股。</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公司负债是公司应该承担的一种契约式义务，即公司未来必须支付一定的金额作为资源提供者的报酬</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抵押债务：公司借款时，承诺在未来分期连本带息偿还，同时将类似于证券的资产进行抵押。</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在理想的／无摩擦的市场环境下，公司发行的所有证券的市场价格由公司的盈利能力和它实际资产的风险决定，与这些为融资而发行的证券的组合方式无关。</w:t>
      </w:r>
      <w:r>
        <w:rPr>
          <w:rFonts w:ascii="微软雅黑" w:cs="微软雅黑" w:hAnsi="微软雅黑" w:eastAsia="微软雅黑"/>
          <w:kern w:val="0"/>
          <w:sz w:val="18"/>
          <w:szCs w:val="18"/>
          <w:rtl w:val="0"/>
          <w:lang w:val="zh-CN" w:eastAsia="zh-CN"/>
        </w:rPr>
        <w:t>’</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 xml:space="preserve"> </w:t>
      </w:r>
      <w:r>
        <w:rPr>
          <w:rFonts w:ascii="微软雅黑" w:cs="微软雅黑" w:hAnsi="微软雅黑" w:eastAsia="微软雅黑"/>
          <w:kern w:val="0"/>
          <w:sz w:val="18"/>
          <w:szCs w:val="18"/>
          <w:rtl w:val="0"/>
          <w:lang w:val="zh-TW" w:eastAsia="zh-TW"/>
        </w:rPr>
        <w:t>M&amp;M</w:t>
      </w:r>
      <w:r>
        <w:rPr>
          <w:rFonts w:ascii="微软雅黑" w:cs="微软雅黑" w:hAnsi="微软雅黑" w:eastAsia="微软雅黑"/>
          <w:kern w:val="0"/>
          <w:sz w:val="18"/>
          <w:szCs w:val="18"/>
          <w:rtl w:val="0"/>
          <w:lang w:val="zh-CN" w:eastAsia="zh-CN"/>
        </w:rPr>
        <w:t>理论将无摩擦环境定义为：</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bidi w:val="0"/>
        <w:spacing w:after="240" w:line="312" w:lineRule="auto"/>
        <w:ind w:left="0" w:right="0" w:firstLine="0"/>
        <w:jc w:val="left"/>
        <w:rPr>
          <w:rtl w:val="0"/>
        </w:rPr>
      </w:pPr>
      <w:r>
        <w:rPr>
          <w:rFonts w:ascii="微软雅黑" w:cs="微软雅黑" w:hAnsi="微软雅黑" w:eastAsia="微软雅黑"/>
          <w:kern w:val="0"/>
          <w:sz w:val="18"/>
          <w:szCs w:val="18"/>
          <w:rtl w:val="0"/>
          <w:lang w:val="zh-CN" w:eastAsia="zh-CN"/>
        </w:rPr>
        <w:t xml:space="preserve"> </w:t>
        <w:tab/>
        <w:t xml:space="preserve">a. </w:t>
      </w:r>
      <w:r>
        <w:rPr>
          <w:rFonts w:ascii="微软雅黑" w:cs="微软雅黑" w:hAnsi="微软雅黑" w:eastAsia="微软雅黑"/>
          <w:kern w:val="0"/>
          <w:sz w:val="18"/>
          <w:szCs w:val="18"/>
          <w:rtl w:val="0"/>
          <w:lang w:val="zh-CN" w:eastAsia="zh-CN"/>
        </w:rPr>
        <w:t>没有收入所得税；</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bidi w:val="0"/>
        <w:spacing w:after="240" w:line="312" w:lineRule="auto"/>
        <w:ind w:left="0" w:right="0" w:firstLine="0"/>
        <w:jc w:val="left"/>
        <w:rPr>
          <w:rtl w:val="0"/>
        </w:rPr>
      </w:pPr>
      <w:r>
        <w:rPr>
          <w:rFonts w:ascii="微软雅黑" w:cs="微软雅黑" w:hAnsi="微软雅黑" w:eastAsia="微软雅黑"/>
          <w:kern w:val="0"/>
          <w:sz w:val="18"/>
          <w:szCs w:val="18"/>
          <w:rtl w:val="0"/>
          <w:lang w:val="zh-CN" w:eastAsia="zh-CN"/>
        </w:rPr>
        <w:tab/>
        <w:t xml:space="preserve">b. </w:t>
      </w:r>
      <w:r>
        <w:rPr>
          <w:rFonts w:ascii="微软雅黑" w:cs="微软雅黑" w:hAnsi="微软雅黑" w:eastAsia="微软雅黑"/>
          <w:kern w:val="0"/>
          <w:sz w:val="18"/>
          <w:szCs w:val="18"/>
          <w:rtl w:val="0"/>
          <w:lang w:val="zh-CN" w:eastAsia="zh-CN"/>
        </w:rPr>
        <w:t>发行债券或权益证券没有交易成本；</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bidi w:val="0"/>
        <w:spacing w:after="240" w:line="312" w:lineRule="auto"/>
        <w:ind w:left="0" w:right="0" w:firstLine="0"/>
        <w:jc w:val="left"/>
        <w:rPr>
          <w:rtl w:val="0"/>
        </w:rPr>
      </w:pPr>
      <w:r>
        <w:rPr>
          <w:rFonts w:ascii="微软雅黑" w:cs="微软雅黑" w:hAnsi="微软雅黑" w:eastAsia="微软雅黑"/>
          <w:kern w:val="0"/>
          <w:sz w:val="18"/>
          <w:szCs w:val="18"/>
          <w:rtl w:val="0"/>
          <w:lang w:val="zh-CN" w:eastAsia="zh-CN"/>
        </w:rPr>
        <w:tab/>
        <w:t xml:space="preserve">c. </w:t>
      </w:r>
      <w:r>
        <w:rPr>
          <w:rFonts w:ascii="微软雅黑" w:cs="微软雅黑" w:hAnsi="微软雅黑" w:eastAsia="微软雅黑"/>
          <w:kern w:val="0"/>
          <w:sz w:val="18"/>
          <w:szCs w:val="18"/>
          <w:rtl w:val="0"/>
          <w:lang w:val="zh-CN" w:eastAsia="zh-CN"/>
        </w:rPr>
        <w:t>投资者获得借款的条件与公司一样；</w:t>
      </w:r>
    </w:p>
    <w:p>
      <w:pPr>
        <w:pStyle w:val="List Paragraph"/>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bidi w:val="0"/>
        <w:spacing w:after="240" w:line="312" w:lineRule="auto"/>
        <w:ind w:left="0" w:right="0" w:firstLine="0"/>
        <w:jc w:val="left"/>
        <w:rPr>
          <w:rtl w:val="0"/>
        </w:rPr>
      </w:pPr>
      <w:r>
        <w:rPr>
          <w:rFonts w:ascii="微软雅黑" w:cs="微软雅黑" w:hAnsi="微软雅黑" w:eastAsia="微软雅黑"/>
          <w:kern w:val="0"/>
          <w:sz w:val="18"/>
          <w:szCs w:val="18"/>
          <w:rtl w:val="0"/>
          <w:lang w:val="zh-CN" w:eastAsia="zh-CN"/>
        </w:rPr>
        <w:tab/>
        <w:t xml:space="preserve">d. </w:t>
      </w:r>
      <w:r>
        <w:rPr>
          <w:rFonts w:ascii="微软雅黑" w:cs="微软雅黑" w:hAnsi="微软雅黑" w:eastAsia="微软雅黑"/>
          <w:kern w:val="0"/>
          <w:sz w:val="18"/>
          <w:szCs w:val="18"/>
          <w:rtl w:val="0"/>
          <w:lang w:val="zh-CN" w:eastAsia="zh-CN"/>
        </w:rPr>
        <w:t>公司各股东之间可以无成本地解决彼此之间的利益冲突。</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 xml:space="preserve"> 当公司资本结构中债务所占的比例逐步提高时，公司违约的风险也越来越大。即债务的未来现金流少于预期值的可能性越来越大。这种公司面临债务违约危险的状态称为财务危机。</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虽然债务融资可以获得抵税的好处，但当它的比例过高时，财务危机成本将使得债务融资的弊大于利。</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资本结构决策为股东创造价值的另一种方法是减少公司内部各风险承担者之间潜在的／会造成较大成本的利益冲突，如管理者与股东／股东与债权人之间的矛盾。这些成本总称为代理成本。</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资本结构决策为股东创造价值的第三种方法是为公司股东创造一些他们原本不能获得或需要花很大代价才能获得的机会。即在不改变公司运营资产的构成或大小的情况下，公司通过改变发行给股东的索求权来创造价值。</w:t>
      </w:r>
    </w:p>
    <w:p>
      <w:pPr>
        <w:pStyle w:val="List Paragraph"/>
        <w:widowControl w:val="1"/>
        <w:numPr>
          <w:ilvl w:val="0"/>
          <w:numId w:val="2"/>
        </w:numPr>
        <w:bidi w:val="0"/>
        <w:spacing w:after="240" w:line="312" w:lineRule="auto"/>
        <w:ind w:right="0"/>
        <w:jc w:val="left"/>
        <w:rPr>
          <w:rFonts w:ascii="微软雅黑" w:cs="微软雅黑" w:hAnsi="微软雅黑" w:eastAsia="微软雅黑"/>
          <w:kern w:val="0"/>
          <w:sz w:val="18"/>
          <w:szCs w:val="18"/>
          <w:rtl w:val="0"/>
          <w:lang w:val="zh-TW" w:eastAsia="zh-TW"/>
        </w:rPr>
      </w:pPr>
      <w:r>
        <w:rPr>
          <w:rFonts w:ascii="微软雅黑" w:cs="微软雅黑" w:hAnsi="微软雅黑" w:eastAsia="微软雅黑"/>
          <w:kern w:val="0"/>
          <w:sz w:val="18"/>
          <w:szCs w:val="18"/>
          <w:rtl w:val="0"/>
          <w:lang w:val="zh-CN" w:eastAsia="zh-CN"/>
        </w:rPr>
        <w:t>公司应选择净现值为正的投资项目，评估投资项目通常有三种方法：调整现值／股权收益／加权平均资本成本。</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微软雅黑">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ind w:left="990" w:hanging="19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ind w:left="1790" w:hanging="1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ind w:left="2590" w:hanging="19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ind w:left="3390" w:hanging="19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ind w:left="4190" w:hanging="1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5672"/>
          <w:tab w:val="left" w:pos="6381"/>
          <w:tab w:val="left" w:pos="7090"/>
          <w:tab w:val="left" w:pos="7799"/>
          <w:tab w:val="left" w:pos="7800"/>
          <w:tab w:val="left" w:pos="7800"/>
        </w:tabs>
        <w:ind w:left="4990" w:hanging="19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ind w:left="5790" w:hanging="19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ind w:left="6590" w:hanging="1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编号">
    <w:name w:val="编号"/>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