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Tides of Knowing Deck Creator Studio Platform Reference</w:t>
      </w:r>
    </w:p>
    <w:p>
      <w:pPr>
        <w:pStyle w:val="Subtitle"/>
      </w:pPr>
      <w:r>
        <w:t>Governing product architecture build sequence and recovery standard</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360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Document authority</w:t>
            </w:r>
          </w:p>
        </w:tc>
        <w:tc>
          <w:tcPr>
            <w:tcW w:type="dxa" w:w="360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Current status</w:t>
            </w:r>
          </w:p>
        </w:tc>
        <w:tc>
          <w:tcPr>
            <w:tcW w:type="dxa" w:w="216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Effective date</w:t>
            </w:r>
          </w:p>
        </w:tc>
      </w:tr>
      <w:tr>
        <w:trPr>
          <w:cantSplit/>
        </w:trPr>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Leilia founder and product owner</w:t>
            </w:r>
          </w:p>
        </w:tc>
        <w:tc>
          <w:tcPr>
            <w:tcW w:type="dxa" w:w="36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Governing reference before reconstruction</w:t>
            </w:r>
          </w:p>
        </w:tc>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22 September 2026</w:t>
            </w:r>
          </w:p>
        </w:tc>
      </w:tr>
    </w:tbl>
    <w:p>
      <w:pPr>
        <w:spacing w:after="20"/>
      </w:pPr>
    </w:p>
    <w:p>
      <w:pPr>
        <w:pStyle w:val="Heading1"/>
      </w:pPr>
      <w:r>
        <w:t>Executive decision</w:t>
      </w:r>
    </w:p>
    <w:p>
      <w:r>
        <w:t>The Deck Creator Studio will be built as a paid product area within Tides of Knowing. Its primary purpose is to give oracle, tarot and hybrid deck creators a complete editorial, production and publishing environment in which to develop their own work, supported by Leilia's structured programme, professional judgement and optional direct guidance.</w:t>
      </w:r>
    </w:p>
    <w:p>
      <w:r>
        <w:t>Leilia's Aotearoa Bird Oracle is a reference implementation, a demanding test project and a source of curated teaching evidence. It will inform the architecture from the beginning and will ultimately operate inside the same platform. It will not define every creator's workflow, displace the commercial focus or require Leilia to re-enter existing work manually.</w:t>
      </w:r>
    </w:p>
    <w:p>
      <w:r>
        <w:t>This document is the governing reference for reconstruction and subsequent development. Product decisions, implementation tranches and release gates must remain consistent with it unless Leilia expressly approves a documented change.</w:t>
      </w:r>
    </w:p>
    <w:p>
      <w:pPr>
        <w:pStyle w:val="Heading1"/>
      </w:pPr>
      <w:r>
        <w:t>1 Product purpose and commercial objective</w:t>
      </w:r>
    </w:p>
    <w:p>
      <w:pPr>
        <w:pStyle w:val="Heading2"/>
      </w:pPr>
      <w:r>
        <w:t>1.1 Purpose</w:t>
      </w:r>
    </w:p>
    <w:p>
      <w:r>
        <w:t>The platform helps a creator move from an initial deck concept to a coherent card system, guidebook, artwork plan, production specification and chosen publication outcome. It combines a private working environment, a twelve-week guided pathway, human support, creator journals, collaborator discovery and practical publication preparation.</w:t>
      </w:r>
    </w:p>
    <w:p>
      <w:r>
        <w:t>The product is not presented as a subscription video library. It is a working creation environment supported by an experienced journalist, editor, intuitive and practising deck creator.</w:t>
      </w:r>
    </w:p>
    <w:p>
      <w:pPr>
        <w:pStyle w:val="Heading2"/>
      </w:pPr>
      <w:r>
        <w:t>1.2 Commercial objective</w:t>
      </w:r>
    </w:p>
    <w:p>
      <w:r>
        <w:t>The platform must be capable of generating income immediately after a complete launch. The operational target is at least US$5,000 in collected monthly revenue by month three, with a preferred gross target of US$6,000 to US$7,000 to absorb fees, cancellations and failed payments.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8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Offer</w:t>
            </w:r>
          </w:p>
        </w:tc>
        <w:tc>
          <w:tcPr>
            <w:tcW w:type="dxa" w:w="1944"/>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Price</w:t>
            </w:r>
          </w:p>
        </w:tc>
        <w:tc>
          <w:tcPr>
            <w:tcW w:type="dxa" w:w="460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Primary relationship</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 Creator Studio</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US$197 per month</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Self-directed creation with one requested monthly human overview</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Guided Deck Circle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US$597 per month</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Twelve-week commitment with weekly six-person guidance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Deck Partnership</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US$1,495 per month</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Weekly private guidance and proactive editorial oversight</w:t>
            </w:r>
          </w:p>
        </w:tc>
      </w:tr>
    </w:tbl>
    <w:p>
      <w:pPr>
        <w:spacing w:after="20"/>
      </w:pPr>
    </w:p>
    <w:p>
      <w:r>
        <w:t>The Guided Deck Circle is the principal launch revenue route. Ten members across two five-person circles would produce US$5,970 per month. Studio access supplies affordability and scale. Private Partnership supplies premium support and an upgrade path.</w:t>
      </w:r>
    </w:p>
    <w:p>
      <w:pPr>
        <w:pStyle w:val="Heading2"/>
      </w:pPr>
      <w:r>
        <w:t>1.3 Core promise</w:t>
      </w:r>
    </w:p>
    <w:p>
      <w:r>
        <w:t>Create your oracle or tarot deck through a complete editorial, production and publishing system. Work independently when you can, and access experienced human support when you need it.</w:t>
      </w:r>
    </w:p>
    <w:p>
      <w:pPr>
        <w:pStyle w:val="Heading1"/>
      </w:pPr>
      <w:r>
        <w:t>2 Product boundaries</w:t>
      </w:r>
    </w:p>
    <w:tbl>
      <w:tblPr>
        <w:tblW w:type="auto" w:w="0"/>
        <w:jc w:val="center"/>
        <w:tblLayout w:type="fixed"/>
        <w:tblLook w:firstColumn="1" w:firstRow="1" w:lastColumn="0" w:lastRow="0" w:noHBand="0" w:noVBand="1" w:val="04A0"/>
      </w:tblPr>
      <w:tblGrid>
        <w:gridCol w:w="4939"/>
        <w:gridCol w:w="4939"/>
      </w:tblGrid>
      <w:tr>
        <w:trPr>
          <w:tblHeader/>
        </w:trPr>
        <w:tc>
          <w:tcPr>
            <w:tcW w:type="dxa" w:w="46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Included in the Studio</w:t>
            </w:r>
          </w:p>
        </w:tc>
        <w:tc>
          <w:tcPr>
            <w:tcW w:type="dxa" w:w="46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Outside the standard subscription</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project workspace and structured programme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Unlimited manuscript editing or rewriting</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Cards guidebook research journal and production records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Artwork creation or management of an artist</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One requested monthly Project Pulse for Studio members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Printer negotiations or procurement management</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Circle or private support according to plan</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Full Kickstarter campaign management</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Artist discovery introductions and agreement guidance</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Escrow artist payments or marketplace dispute resolution</w:t>
            </w:r>
          </w:p>
        </w:tc>
      </w:tr>
      <w:tr>
        <w:trPr>
          <w:cantSplit/>
        </w:trPr>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Exports and creator-owned backups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Legal tax or jurisdiction-specific professional advice</w:t>
            </w:r>
          </w:p>
        </w:tc>
      </w:tr>
    </w:tbl>
    <w:p>
      <w:pPr>
        <w:spacing w:after="20"/>
      </w:pPr>
    </w:p>
    <w:p>
      <w:r>
        <w:t>Creators retain authorship, creative control and ownership. The platform provides structure, records, education and access to support. It does not acquire rights in creator manuscripts, artwork, research or project files.</w:t>
      </w:r>
    </w:p>
    <w:p>
      <w:pPr>
        <w:pStyle w:val="Heading1"/>
      </w:pPr>
      <w:r>
        <w:t>3 Creator pathways</w:t>
      </w:r>
    </w:p>
    <w:p>
      <w:r>
        <w:t>Onboarding recognises three equally valid outcomes. These are pathways through one platform rather than separate courses. A creator may change direction at any time.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44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Pathway</w:t>
            </w:r>
          </w:p>
        </w:tc>
        <w:tc>
          <w:tcPr>
            <w:tcW w:type="dxa" w:w="3744"/>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Intended outcome</w:t>
            </w:r>
          </w:p>
        </w:tc>
        <w:tc>
          <w:tcPr>
            <w:tcW w:type="dxa" w:w="4032"/>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Additional emphasis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Personal or gift edition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One deck or a small number for private use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Meaning coherence completion and practical small-batch options</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Independent publication</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Self-published or small-run commercial deck</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Production costing rights distribution and fulfilment</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Commercial or crowdfunded launch</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Larger public release or Kickstarter</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Campaign evidence audience preparation funding and launch assets</w:t>
            </w:r>
          </w:p>
        </w:tc>
      </w:tr>
    </w:tbl>
    <w:p>
      <w:pPr>
        <w:spacing w:after="20"/>
      </w:pPr>
    </w:p>
    <w:p>
      <w:pPr>
        <w:pStyle w:val="Heading1"/>
      </w:pPr>
      <w:r>
        <w:t>4 Platform position inside Tides of Knowing</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08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Tides area</w:t>
            </w:r>
          </w:p>
        </w:tc>
        <w:tc>
          <w:tcPr>
            <w:tcW w:type="dxa" w:w="532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Function</w:t>
            </w:r>
          </w:p>
        </w:tc>
        <w:tc>
          <w:tcPr>
            <w:tcW w:type="dxa" w:w="252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Visibility</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Tools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Discover the Studio compare plans enrol and enter the workspace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Public</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 Creator Studio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Cards guidebook journal programme production collaborators and support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Private by project and entitlement</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 Creator Community</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Questions peer exchange selected teaching and creator discussion</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Members with selected free areas</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For Artists</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Submit portfolios and collaboration preferences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Public application with curated publication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Leilia's Studio</w:t>
            </w:r>
          </w:p>
        </w:tc>
        <w:tc>
          <w:tcPr>
            <w:tcW w:type="dxa" w:w="53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Bird Oracle workspace plus deliberately shared process evidence</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source with curated member and public views</w:t>
            </w:r>
          </w:p>
        </w:tc>
      </w:tr>
    </w:tbl>
    <w:p>
      <w:pPr>
        <w:spacing w:after="20"/>
      </w:pPr>
    </w:p>
    <w:p>
      <w:pPr>
        <w:pStyle w:val="Heading2"/>
      </w:pPr>
      <w:r>
        <w:t>4.1 Proposed routes</w:t>
      </w:r>
    </w:p>
    <w:tbl>
      <w:tblPr>
        <w:tblW w:type="auto" w:w="0"/>
        <w:jc w:val="center"/>
        <w:tblLayout w:type="fixed"/>
        <w:tblLook w:firstColumn="1" w:firstRow="1" w:lastColumn="0" w:lastRow="0" w:noHBand="0" w:noVBand="1" w:val="04A0"/>
      </w:tblPr>
      <w:tblGrid>
        <w:gridCol w:w="4939"/>
        <w:gridCol w:w="4939"/>
      </w:tblGrid>
      <w:tr>
        <w:trPr>
          <w:tblHeader/>
        </w:trPr>
        <w:tc>
          <w:tcPr>
            <w:tcW w:type="dxa" w:w="388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Route</w:t>
            </w:r>
          </w:p>
        </w:tc>
        <w:tc>
          <w:tcPr>
            <w:tcW w:type="dxa" w:w="604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Purpose</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/tools/deck-creator-studio/</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Public offer pricing readiness and enrolment</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/deck-studio/</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Authenticated creator dashboard</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/deck-studio/cards/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Card structure writing sequencing and status</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/deck-studio/guidebook/</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Versioned guidebook workspace</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/deck-studio/journal/</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reflections photographs and milestones</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/deck-studio/programme/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Twelve-week learning pathway</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/deck-studio/artists/</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Curated collaborator directory and shortlists</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/deck-studio/production/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Prototype costing printing and release planning</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/deck-studio/support/</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Project Pulse Circle and private support</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/artists/collaborate/</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External artist application</w:t>
            </w:r>
          </w:p>
        </w:tc>
      </w:tr>
      <w:tr>
        <w:trPr>
          <w:cantSplit/>
        </w:trPr>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/community/sections/deck-creation/</w:t>
            </w:r>
          </w:p>
        </w:tc>
        <w:tc>
          <w:tcPr>
            <w:tcW w:type="dxa" w:w="60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 Creator Community</w:t>
            </w:r>
          </w:p>
        </w:tc>
      </w:tr>
    </w:tbl>
    <w:p>
      <w:pPr>
        <w:spacing w:after="20"/>
      </w:pPr>
    </w:p>
    <w:p>
      <w:pPr>
        <w:pStyle w:val="Heading1"/>
      </w:pPr>
      <w:r>
        <w:t>5 Core creator workspace</w:t>
      </w:r>
    </w:p>
    <w:p>
      <w:pPr>
        <w:pStyle w:val="Heading2"/>
      </w:pPr>
      <w:r>
        <w:t>5.1 Project structure</w:t>
      </w:r>
    </w:p>
    <w:p>
      <w:pPr>
        <w:pStyle w:val="ListBullet"/>
        <w:spacing w:after="60"/>
      </w:pPr>
      <w:r>
        <w:t>Oracle tarot and hybrid project types</w:t>
      </w:r>
    </w:p>
    <w:p>
      <w:pPr>
        <w:pStyle w:val="ListBullet"/>
        <w:spacing w:after="60"/>
      </w:pPr>
      <w:r>
        <w:t>Custom deck size card families sequences and internal logic</w:t>
      </w:r>
    </w:p>
    <w:p>
      <w:pPr>
        <w:pStyle w:val="ListBullet"/>
        <w:spacing w:after="60"/>
      </w:pPr>
      <w:r>
        <w:t>Project purpose intended reader promise pathway and production profile</w:t>
      </w:r>
    </w:p>
    <w:p>
      <w:pPr>
        <w:pStyle w:val="ListBullet"/>
        <w:spacing w:after="60"/>
      </w:pPr>
      <w:r>
        <w:t>Customisable repeatable card templates</w:t>
      </w:r>
    </w:p>
    <w:p>
      <w:pPr>
        <w:pStyle w:val="ListBullet"/>
        <w:spacing w:after="60"/>
      </w:pPr>
      <w:r>
        <w:t>Project status milestones risks and next action</w:t>
      </w:r>
    </w:p>
    <w:p>
      <w:pPr>
        <w:pStyle w:val="ListBullet"/>
        <w:spacing w:after="60"/>
      </w:pPr>
      <w:r>
        <w:t>Multiple projects per creator when plan rules permit</w:t>
      </w:r>
    </w:p>
    <w:p>
      <w:pPr>
        <w:pStyle w:val="Heading2"/>
      </w:pPr>
      <w:r>
        <w:t>5.2 Card workspace</w:t>
      </w:r>
    </w:p>
    <w:p>
      <w:pPr>
        <w:pStyle w:val="ListBullet"/>
        <w:spacing w:after="60"/>
      </w:pPr>
      <w:r>
        <w:t>Whole-deck dashboard with ordering filtering and progress</w:t>
      </w:r>
    </w:p>
    <w:p>
      <w:pPr>
        <w:pStyle w:val="ListBullet"/>
        <w:spacing w:after="60"/>
      </w:pPr>
      <w:r>
        <w:t>Structured card-writing sections with optional advanced fields</w:t>
      </w:r>
    </w:p>
    <w:p>
      <w:pPr>
        <w:pStyle w:val="ListBullet"/>
        <w:spacing w:after="60"/>
      </w:pPr>
      <w:r>
        <w:t>Meanings symbolism correspondences prompts keywords and cautions</w:t>
      </w:r>
    </w:p>
    <w:p>
      <w:pPr>
        <w:pStyle w:val="ListBullet"/>
        <w:spacing w:after="60"/>
      </w:pPr>
      <w:r>
        <w:t>Private research notes sources cultural context and permissions</w:t>
      </w:r>
    </w:p>
    <w:p>
      <w:pPr>
        <w:pStyle w:val="ListBullet"/>
        <w:spacing w:after="60"/>
      </w:pPr>
      <w:r>
        <w:t>Artwork briefs references rights status and production notes</w:t>
      </w:r>
    </w:p>
    <w:p>
      <w:pPr>
        <w:pStyle w:val="ListBullet"/>
        <w:spacing w:after="60"/>
      </w:pPr>
      <w:r>
        <w:t>Version history and restoration</w:t>
      </w:r>
    </w:p>
    <w:p>
      <w:pPr>
        <w:pStyle w:val="ListBullet"/>
        <w:spacing w:after="60"/>
      </w:pPr>
      <w:r>
        <w:t>Cross-card consistency repetition and gap analysis</w:t>
      </w:r>
    </w:p>
    <w:p>
      <w:pPr>
        <w:pStyle w:val="Heading2"/>
      </w:pPr>
      <w:r>
        <w:t>5.3 Guidebook workspace</w:t>
      </w:r>
    </w:p>
    <w:p>
      <w:pPr>
        <w:pStyle w:val="ListBullet"/>
        <w:spacing w:after="60"/>
      </w:pPr>
      <w:r>
        <w:t>Book architecture front matter card entries instructions and closing material</w:t>
      </w:r>
    </w:p>
    <w:p>
      <w:pPr>
        <w:pStyle w:val="ListBullet"/>
        <w:spacing w:after="60"/>
      </w:pPr>
      <w:r>
        <w:t>Versioned chapter editing</w:t>
      </w:r>
    </w:p>
    <w:p>
      <w:pPr>
        <w:pStyle w:val="ListBullet"/>
        <w:spacing w:after="60"/>
      </w:pPr>
      <w:r>
        <w:t>Links between cards and guidebook sections</w:t>
      </w:r>
    </w:p>
    <w:p>
      <w:pPr>
        <w:pStyle w:val="ListBullet"/>
        <w:spacing w:after="60"/>
      </w:pPr>
      <w:r>
        <w:t>Completion and editorial status</w:t>
      </w:r>
    </w:p>
    <w:p>
      <w:pPr>
        <w:pStyle w:val="ListBullet"/>
        <w:spacing w:after="60"/>
      </w:pPr>
      <w:r>
        <w:t>Markdown and structured JSON exports</w:t>
      </w:r>
    </w:p>
    <w:p>
      <w:pPr>
        <w:pStyle w:val="ListBullet"/>
        <w:spacing w:after="60"/>
      </w:pPr>
      <w:r>
        <w:t>Future print and digital export formats after validated demand</w:t>
      </w:r>
    </w:p>
    <w:p>
      <w:pPr>
        <w:pStyle w:val="Heading2"/>
      </w:pPr>
      <w:r>
        <w:t>5.4 Research and evidence</w:t>
      </w:r>
    </w:p>
    <w:p>
      <w:r>
        <w:t>Research records must support attribution, rights, cultural integrity and traceability without prescribing one belief system. Sources, permissions, quotations, private notes and unresolved questions remain distinguishable. The platform must support expert practice and defensible publishing decisions rather than treating research as an unstructured notes field.</w:t>
      </w:r>
    </w:p>
    <w:p>
      <w:pPr>
        <w:pStyle w:val="Heading1"/>
      </w:pPr>
      <w:r>
        <w:t>6 Creator journal</w:t>
      </w:r>
    </w:p>
    <w:p>
      <w:r>
        <w:t>The Creator Journal records the lived process of making a deck. It is private by default and cannot publish material automatically.</w:t>
      </w:r>
    </w:p>
    <w:p>
      <w:pPr>
        <w:pStyle w:val="ListBullet"/>
        <w:spacing w:after="60"/>
      </w:pPr>
      <w:r>
        <w:t>Written reflections and up to five photographs per entry at launch</w:t>
      </w:r>
    </w:p>
    <w:p>
      <w:pPr>
        <w:pStyle w:val="ListBullet"/>
        <w:spacing w:after="60"/>
      </w:pPr>
      <w:r>
        <w:t>Links to a card chapter module decision or milestone</w:t>
      </w:r>
    </w:p>
    <w:p>
      <w:pPr>
        <w:pStyle w:val="ListBullet"/>
        <w:spacing w:after="60"/>
      </w:pPr>
      <w:r>
        <w:t>Tags such as research artwork resistance breakthrough testing production and launch</w:t>
      </w:r>
    </w:p>
    <w:p>
      <w:pPr>
        <w:pStyle w:val="ListBullet"/>
        <w:spacing w:after="60"/>
      </w:pPr>
      <w:r>
        <w:t>Private by default with deliberate excerpt-sharing controls</w:t>
      </w:r>
    </w:p>
    <w:p>
      <w:pPr>
        <w:pStyle w:val="ListBullet"/>
        <w:spacing w:after="60"/>
      </w:pPr>
      <w:r>
        <w:t>Selection of entries and images for a campaign story pack</w:t>
      </w:r>
    </w:p>
    <w:p>
      <w:pPr>
        <w:pStyle w:val="ListBullet"/>
        <w:spacing w:after="60"/>
      </w:pPr>
      <w:r>
        <w:t>Export for Kickstarter newsletters social content case studies or a private project record</w:t>
      </w:r>
    </w:p>
    <w:p>
      <w:r>
        <w:t>Location metadata must be removed from uploaded photographs where technically practicable. Sharing a journal excerpt creates a separate controlled copy or reference. It does not change the privacy of the source entry.</w:t>
      </w:r>
    </w:p>
    <w:p>
      <w:pPr>
        <w:pStyle w:val="Heading1"/>
      </w:pPr>
      <w:r>
        <w:t>7 Twelve-week programme</w:t>
      </w:r>
    </w:p>
    <w:tbl>
      <w:tblPr>
        <w:tblW w:type="auto" w:w="0"/>
        <w:jc w:val="center"/>
        <w:tblLayout w:type="fixed"/>
        <w:tblLook w:firstColumn="1" w:firstRow="1" w:lastColumn="0" w:lastRow="0" w:noHBand="0" w:noVBand="1" w:val="04A0"/>
      </w:tblPr>
      <w:tblGrid>
        <w:gridCol w:w="4939"/>
        <w:gridCol w:w="4939"/>
      </w:tblGrid>
      <w:tr>
        <w:trPr>
          <w:tblHeader/>
        </w:trPr>
        <w:tc>
          <w:tcPr>
            <w:tcW w:type="dxa" w:w="10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Week</w:t>
            </w:r>
          </w:p>
        </w:tc>
        <w:tc>
          <w:tcPr>
            <w:tcW w:type="dxa" w:w="864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Outcome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1</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Deck purpose audience and promise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2</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Oracle tarot or hybrid architecture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3</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Card families sequence and internal logic</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4</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Repeatable card-writing framework</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5</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Voice meaning symbolism and interpretive depth</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6</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Research attribution ethics and cultural integrity</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7</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Artwork system briefs and image rights</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8</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Editing testing and deck coherence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9</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Digital and physical guidebook architecture</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10</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Manufacturing specifications and prototype preparation</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11</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Costing pricing fulfilment and funding goal</w:t>
            </w:r>
          </w:p>
        </w:tc>
      </w:tr>
      <w:tr>
        <w:trPr>
          <w:cantSplit/>
        </w:trPr>
        <w:tc>
          <w:tcPr>
            <w:tcW w:type="dxa" w:w="10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12</w:t>
            </w:r>
          </w:p>
        </w:tc>
        <w:tc>
          <w:tcPr>
            <w:tcW w:type="dxa" w:w="86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Campaign story publication assets and launch plan</w:t>
            </w:r>
          </w:p>
        </w:tc>
      </w:tr>
    </w:tbl>
    <w:p>
      <w:pPr>
        <w:spacing w:after="20"/>
      </w:pPr>
    </w:p>
    <w:p>
      <w:r>
        <w:t>Modules unlock according to each creator's start date. The dashboard shows the current module, current deck task, completion condition, what can safely remain unfinished and the next production risk. Personal and small-run pathways receive appropriate alternatives to crowdfunding material.</w:t>
      </w:r>
    </w:p>
    <w:p>
      <w:pPr>
        <w:pStyle w:val="Heading1"/>
      </w:pPr>
      <w:r>
        <w:t>8 Human support</w:t>
      </w:r>
    </w:p>
    <w:p>
      <w:pPr>
        <w:pStyle w:val="Heading2"/>
      </w:pPr>
      <w:r>
        <w:t>8.1 Project Pulse</w:t>
      </w:r>
    </w:p>
    <w:p>
      <w:r>
        <w:t>Studio members may request one Project Pulse per billing month. It is a concise overview rather than an edit. The creator submits one priority question and explicitly grants time-limited access.</w:t>
      </w:r>
    </w:p>
    <w:p>
      <w:pPr>
        <w:pStyle w:val="ListBullet"/>
        <w:spacing w:after="60"/>
      </w:pPr>
      <w:r>
        <w:t>Review of the dashboard project structure and current direction</w:t>
      </w:r>
    </w:p>
    <w:p>
      <w:pPr>
        <w:pStyle w:val="ListBullet"/>
        <w:spacing w:after="60"/>
      </w:pPr>
      <w:r>
        <w:t>Up to three written observations or a short recorded response</w:t>
      </w:r>
    </w:p>
    <w:p>
      <w:pPr>
        <w:pStyle w:val="ListBullet"/>
        <w:spacing w:after="60"/>
      </w:pPr>
      <w:r>
        <w:t>What appears strongest what may be missing and the next useful step</w:t>
      </w:r>
    </w:p>
    <w:p>
      <w:pPr>
        <w:pStyle w:val="ListBullet"/>
        <w:spacing w:after="60"/>
      </w:pPr>
      <w:r>
        <w:t>Returned within the published service window</w:t>
      </w:r>
    </w:p>
    <w:p>
      <w:pPr>
        <w:pStyle w:val="ListBullet"/>
        <w:spacing w:after="60"/>
      </w:pPr>
      <w:r>
        <w:t>No detailed manuscript editing production verification or automatic rewriting</w:t>
      </w:r>
    </w:p>
    <w:p>
      <w:pPr>
        <w:pStyle w:val="ListBullet"/>
        <w:spacing w:after="60"/>
      </w:pPr>
      <w:r>
        <w:t>Access begins only when an assigned reviewer accepts the request</w:t>
      </w:r>
    </w:p>
    <w:p>
      <w:pPr>
        <w:pStyle w:val="ListBullet"/>
        <w:spacing w:after="60"/>
      </w:pPr>
      <w:r>
        <w:t>Access ends when the response is completed the creator withdraws consent or fourteen days elapse</w:t>
      </w:r>
    </w:p>
    <w:p>
      <w:pPr>
        <w:pStyle w:val="Heading2"/>
      </w:pPr>
      <w:r>
        <w:t>8.2 Additional paid support</w:t>
      </w:r>
    </w:p>
    <w:p>
      <w:pPr>
        <w:pStyle w:val="ListBullet"/>
        <w:spacing w:after="60"/>
      </w:pPr>
      <w:r>
        <w:t>Focused Deck Session for one defined decision</w:t>
      </w:r>
    </w:p>
    <w:p>
      <w:pPr>
        <w:pStyle w:val="ListBullet"/>
        <w:spacing w:after="60"/>
      </w:pPr>
      <w:r>
        <w:t>Focused Editorial Review with a defined word and document boundary</w:t>
      </w:r>
    </w:p>
    <w:p>
      <w:pPr>
        <w:pStyle w:val="ListBullet"/>
        <w:spacing w:after="60"/>
      </w:pPr>
      <w:r>
        <w:t>Guided Deck Circle with weekly small-group guidance</w:t>
      </w:r>
    </w:p>
    <w:p>
      <w:pPr>
        <w:pStyle w:val="ListBullet"/>
        <w:spacing w:after="60"/>
      </w:pPr>
      <w:r>
        <w:t>Private Deck Partnership for sustained project involvement</w:t>
      </w:r>
    </w:p>
    <w:p>
      <w:pPr>
        <w:pStyle w:val="Heading1"/>
      </w:pPr>
      <w:r>
        <w:t>9 Aotearoa Bird Oracle reference implementation</w:t>
      </w:r>
    </w:p>
    <w:p>
      <w:pPr>
        <w:pStyle w:val="Heading2"/>
      </w:pPr>
      <w:r>
        <w:t>9.1 Governing role</w:t>
      </w:r>
    </w:p>
    <w:p>
      <w:r>
        <w:t>The Aotearoa Bird Oracle strengthens the platform by testing it against a complex 78-card project with substantial research, symbolism, tarot correspondence, cultural considerations, guidebook material and editorial coherence requirements. It is not a secondary afterthought, but the paid creator platform remains the governing product.</w:t>
      </w:r>
    </w:p>
    <w:p>
      <w:pPr>
        <w:pStyle w:val="Heading2"/>
      </w:pPr>
      <w:r>
        <w:t>9.2 Separation of concerns</w:t>
      </w:r>
    </w:p>
    <w:tbl>
      <w:tblPr>
        <w:tblW w:type="auto" w:w="0"/>
        <w:jc w:val="center"/>
        <w:tblLayout w:type="fixed"/>
        <w:tblLook w:firstColumn="1" w:firstRow="1" w:lastColumn="0" w:lastRow="0" w:noHBand="0" w:noVBand="1" w:val="04A0"/>
      </w:tblPr>
      <w:tblGrid>
        <w:gridCol w:w="4939"/>
        <w:gridCol w:w="4939"/>
      </w:tblGrid>
      <w:tr>
        <w:trPr>
          <w:tblHeader/>
        </w:trPr>
        <w:tc>
          <w:tcPr>
            <w:tcW w:type="dxa" w:w="28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Layer</w:t>
            </w:r>
          </w:p>
        </w:tc>
        <w:tc>
          <w:tcPr>
            <w:tcW w:type="dxa" w:w="676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Role</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Generic Studio</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Reusable system for many deck types and creator pathways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Bird Oracle configuration</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Project-specific taxonomy optional fields and workflow</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Bird Oracle content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Leilia's private cards research manuscript and production records</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Importer</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Automated mapping that prevents manual re-entry and preserves source integrity</w:t>
            </w:r>
          </w:p>
        </w:tc>
      </w:tr>
      <w:tr>
        <w:trPr>
          <w:cantSplit/>
        </w:trP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Process board</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Curated teaching evidence deliberately selected from private work</w:t>
            </w:r>
          </w:p>
        </w:tc>
      </w:tr>
    </w:tbl>
    <w:p>
      <w:pPr>
        <w:spacing w:after="20"/>
      </w:pPr>
    </w:p>
    <w:p>
      <w:pPr>
        <w:pStyle w:val="Heading2"/>
      </w:pPr>
      <w:r>
        <w:t>9.3 Migration rule</w:t>
      </w:r>
    </w:p>
    <w:p>
      <w:r>
        <w:t>Platform design and migration design proceed together. Full content migration waits until the relevant schema is stable. A representative set of five to eight structurally varied cards is imported into staging during construction. The complete project is imported only after a dry run and reconciliation report.</w:t>
      </w:r>
    </w:p>
    <w:p>
      <w:pPr>
        <w:pStyle w:val="ListBullet"/>
        <w:spacing w:after="60"/>
      </w:pPr>
      <w:r>
        <w:t>The ZIP remains an immutable source snapshot</w:t>
      </w:r>
    </w:p>
    <w:p>
      <w:pPr>
        <w:pStyle w:val="ListBullet"/>
        <w:spacing w:after="60"/>
      </w:pPr>
      <w:r>
        <w:t>Existing wording is preserved without editorial alteration during import</w:t>
      </w:r>
    </w:p>
    <w:p>
      <w:pPr>
        <w:pStyle w:val="ListBullet"/>
        <w:spacing w:after="60"/>
      </w:pPr>
      <w:r>
        <w:t>The importer must be repeatable without creating duplicates</w:t>
      </w:r>
    </w:p>
    <w:p>
      <w:pPr>
        <w:pStyle w:val="ListBullet"/>
        <w:spacing w:after="60"/>
      </w:pPr>
      <w:r>
        <w:t>Every source field is mapped or reported as an exception</w:t>
      </w:r>
    </w:p>
    <w:p>
      <w:pPr>
        <w:pStyle w:val="ListBullet"/>
        <w:spacing w:after="60"/>
      </w:pPr>
      <w:r>
        <w:t>Source identifiers paths counts and checksums are retained where practical</w:t>
      </w:r>
    </w:p>
    <w:p>
      <w:pPr>
        <w:pStyle w:val="ListBullet"/>
        <w:spacing w:after="60"/>
      </w:pPr>
      <w:r>
        <w:t>The complete import is rehearsed in staging before production</w:t>
      </w:r>
    </w:p>
    <w:p>
      <w:pPr>
        <w:pStyle w:val="ListBullet"/>
        <w:spacing w:after="60"/>
      </w:pPr>
      <w:r>
        <w:t>Leilia does not manually re-enter content already held in the project</w:t>
      </w:r>
    </w:p>
    <w:p>
      <w:pPr>
        <w:pStyle w:val="Heading2"/>
      </w:pPr>
      <w:r>
        <w:t>9.4 Visibility model</w:t>
      </w:r>
    </w:p>
    <w:tbl>
      <w:tblPr>
        <w:tblW w:type="auto" w:w="0"/>
        <w:jc w:val="center"/>
        <w:tblLayout w:type="fixed"/>
        <w:tblLook w:firstColumn="1" w:firstRow="1" w:lastColumn="0" w:lastRow="0" w:noHBand="0" w:noVBand="1" w:val="04A0"/>
      </w:tblPr>
      <w:tblGrid>
        <w:gridCol w:w="4939"/>
        <w:gridCol w:w="4939"/>
      </w:tblGrid>
      <w:tr>
        <w:trPr>
          <w:tblHeader/>
        </w:trPr>
        <w:tc>
          <w:tcPr>
            <w:tcW w:type="dxa" w:w="1872"/>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Visibility</w:t>
            </w:r>
          </w:p>
        </w:tc>
        <w:tc>
          <w:tcPr>
            <w:tcW w:type="dxa" w:w="7776"/>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Bird Oracle material</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Complete card text research sources cultural notes artwork and commercial planning</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Paid member</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Selected decisions progress patterns lessons and platform use</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Public</w:t>
            </w:r>
          </w:p>
        </w:tc>
        <w:tc>
          <w:tcPr>
            <w:tcW w:type="dxa" w:w="77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Curated milestones general lessons and authority-building project evidence</w:t>
            </w:r>
          </w:p>
        </w:tc>
      </w:tr>
    </w:tbl>
    <w:p>
      <w:pPr>
        <w:spacing w:after="20"/>
      </w:pPr>
    </w:p>
    <w:p>
      <w:pPr>
        <w:pStyle w:val="Heading1"/>
      </w:pPr>
      <w:r>
        <w:t>10 Artist collaboration directory</w:t>
      </w:r>
    </w:p>
    <w:p>
      <w:r>
        <w:t>The launch version is a curated collaboration directory rather than a payment marketplace. Artists apply publicly and do not require a paid creator subscription. Profiles enter an approval queue before publication.</w:t>
      </w:r>
    </w:p>
    <w:p>
      <w:pPr>
        <w:pStyle w:val="Heading2"/>
      </w:pPr>
      <w:r>
        <w:t>10.1 Artist profile and discovery</w:t>
      </w:r>
    </w:p>
    <w:p>
      <w:pPr>
        <w:pStyle w:val="ListBullet"/>
        <w:spacing w:after="60"/>
      </w:pPr>
      <w:r>
        <w:t>Professional name location time zone languages biography and artistic statement</w:t>
      </w:r>
    </w:p>
    <w:p>
      <w:pPr>
        <w:pStyle w:val="ListBullet"/>
        <w:spacing w:after="60"/>
      </w:pPr>
      <w:r>
        <w:t>Six to eight portfolio examples mediums techniques styles and subjects</w:t>
      </w:r>
    </w:p>
    <w:p>
      <w:pPr>
        <w:pStyle w:val="ListBullet"/>
        <w:spacing w:after="60"/>
      </w:pPr>
      <w:r>
        <w:t>Publishing card guidebook packaging and campaign experience</w:t>
      </w:r>
    </w:p>
    <w:p>
      <w:pPr>
        <w:pStyle w:val="ListBullet"/>
        <w:spacing w:after="60"/>
      </w:pPr>
      <w:r>
        <w:t>Availability budget approach licensing preferences and collaboration models</w:t>
      </w:r>
    </w:p>
    <w:p>
      <w:pPr>
        <w:pStyle w:val="ListBullet"/>
        <w:spacing w:after="60"/>
      </w:pPr>
      <w:r>
        <w:t>Explicit disclosure of human-created digital non-generative AI-assisted or generative-AI process</w:t>
      </w:r>
    </w:p>
    <w:p>
      <w:pPr>
        <w:pStyle w:val="ListBullet"/>
        <w:spacing w:after="60"/>
      </w:pPr>
      <w:r>
        <w:t>Member search filters favourites and private shortlists</w:t>
      </w:r>
    </w:p>
    <w:p>
      <w:pPr>
        <w:pStyle w:val="Heading2"/>
      </w:pPr>
      <w:r>
        <w:t>10.2 Controlled introductions</w:t>
      </w:r>
    </w:p>
    <w:p>
      <w:r>
        <w:t>Creator contact details and artist private contact details are not exposed by default. A creator submits a structured brief. The artist may accept decline or request more information. Direct contact is shared only after acceptance.</w:t>
      </w:r>
    </w:p>
    <w:p>
      <w:r>
        <w:t>At launch, the platform does not process artist payments, hold escrow, guarantee performance or resolve contract disputes. Authors and artists contract and pay each other directly using written agreements.</w:t>
      </w:r>
    </w:p>
    <w:p>
      <w:pPr>
        <w:pStyle w:val="Heading1"/>
      </w:pPr>
      <w:r>
        <w:t>11 Deck Creator Community</w:t>
      </w:r>
    </w:p>
    <w:p>
      <w:r>
        <w:t>The existing Tides community will be repositioned only after the private Studio is useful. It will not be duplicated or prematurely promoted. The community is the conversational and authority layer, while the Studio holds private project work.</w:t>
      </w:r>
    </w:p>
    <w:p>
      <w:pPr>
        <w:pStyle w:val="ListBullet"/>
        <w:spacing w:after="60"/>
      </w:pPr>
      <w:r>
        <w:t>Introductions and deck intentions</w:t>
      </w:r>
    </w:p>
    <w:p>
      <w:pPr>
        <w:pStyle w:val="ListBullet"/>
        <w:spacing w:after="60"/>
      </w:pPr>
      <w:r>
        <w:t>Concept structure and symbolism</w:t>
      </w:r>
    </w:p>
    <w:p>
      <w:pPr>
        <w:pStyle w:val="ListBullet"/>
        <w:spacing w:after="60"/>
      </w:pPr>
      <w:r>
        <w:t>Writing cards and guidebooks</w:t>
      </w:r>
    </w:p>
    <w:p>
      <w:pPr>
        <w:pStyle w:val="ListBullet"/>
        <w:spacing w:after="60"/>
      </w:pPr>
      <w:r>
        <w:t>Artwork and creative collaboration</w:t>
      </w:r>
    </w:p>
    <w:p>
      <w:pPr>
        <w:pStyle w:val="ListBullet"/>
        <w:spacing w:after="60"/>
      </w:pPr>
      <w:r>
        <w:t>Testing and refinement</w:t>
      </w:r>
    </w:p>
    <w:p>
      <w:pPr>
        <w:pStyle w:val="ListBullet"/>
        <w:spacing w:after="60"/>
      </w:pPr>
      <w:r>
        <w:t>Printing production and self-publishing</w:t>
      </w:r>
    </w:p>
    <w:p>
      <w:pPr>
        <w:pStyle w:val="ListBullet"/>
        <w:spacing w:after="60"/>
      </w:pPr>
      <w:r>
        <w:t>Crowdfunding and commercial launch</w:t>
      </w:r>
    </w:p>
    <w:p>
      <w:pPr>
        <w:pStyle w:val="ListBullet"/>
        <w:spacing w:after="60"/>
      </w:pPr>
      <w:r>
        <w:t>Weekly workshop and questions</w:t>
      </w:r>
    </w:p>
    <w:p>
      <w:pPr>
        <w:pStyle w:val="ListBullet"/>
        <w:spacing w:after="60"/>
      </w:pPr>
      <w:r>
        <w:t>Progress reflections and celebrations</w:t>
      </w:r>
    </w:p>
    <w:p>
      <w:r>
        <w:t>Selected areas may remain free to support discovery, questions and search-visible authority. Private project data and journals are never converted into community posts without a separate deliberate sharing action.</w:t>
      </w:r>
    </w:p>
    <w:p>
      <w:pPr>
        <w:pStyle w:val="Heading1"/>
      </w:pPr>
      <w:r>
        <w:t>12 Ownership privacy and access</w:t>
      </w:r>
    </w:p>
    <w:p>
      <w:pPr>
        <w:pStyle w:val="ListBullet"/>
        <w:spacing w:after="60"/>
      </w:pPr>
      <w:r>
        <w:t>Creators own their manuscripts images research and exports</w:t>
      </w:r>
    </w:p>
    <w:p>
      <w:pPr>
        <w:pStyle w:val="ListBullet"/>
        <w:spacing w:after="60"/>
      </w:pPr>
      <w:r>
        <w:t>Projects are private by default</w:t>
      </w:r>
    </w:p>
    <w:p>
      <w:pPr>
        <w:pStyle w:val="ListBullet"/>
        <w:spacing w:after="60"/>
      </w:pPr>
      <w:r>
        <w:t>Ordinary administrator status does not grant manuscript visibility</w:t>
      </w:r>
    </w:p>
    <w:p>
      <w:pPr>
        <w:pStyle w:val="ListBullet"/>
        <w:spacing w:after="60"/>
      </w:pPr>
      <w:r>
        <w:t>Human review access requires explicit purpose-specific consent</w:t>
      </w:r>
    </w:p>
    <w:p>
      <w:pPr>
        <w:pStyle w:val="ListBullet"/>
        <w:spacing w:after="60"/>
      </w:pPr>
      <w:r>
        <w:t>Row-level security enforces project ownership</w:t>
      </w:r>
    </w:p>
    <w:p>
      <w:pPr>
        <w:pStyle w:val="ListBullet"/>
        <w:spacing w:after="60"/>
      </w:pPr>
      <w:r>
        <w:t>Private uploads use protected storage and signed access</w:t>
      </w:r>
    </w:p>
    <w:p>
      <w:pPr>
        <w:pStyle w:val="ListBullet"/>
        <w:spacing w:after="60"/>
      </w:pPr>
      <w:r>
        <w:t>A cancelled creator retains read-only access and export capability for a defined policy period</w:t>
      </w:r>
    </w:p>
    <w:p>
      <w:pPr>
        <w:pStyle w:val="ListBullet"/>
        <w:spacing w:after="60"/>
      </w:pPr>
      <w:r>
        <w:t>Deletion export and account-closure pathways are explicit</w:t>
      </w:r>
    </w:p>
    <w:p>
      <w:pPr>
        <w:pStyle w:val="ListBullet"/>
        <w:spacing w:after="60"/>
      </w:pPr>
      <w:r>
        <w:t>Portfolio artists retain ownership and grant limited display rights</w:t>
      </w:r>
    </w:p>
    <w:p>
      <w:pPr>
        <w:pStyle w:val="ListBullet"/>
        <w:spacing w:after="60"/>
      </w:pPr>
      <w:r>
        <w:t>No content is used for model training or unrelated promotion without explicit permission</w:t>
      </w:r>
    </w:p>
    <w:p>
      <w:pPr>
        <w:pStyle w:val="Heading1"/>
      </w:pPr>
      <w:r>
        <w:t>13 Commercial access and enrolment</w:t>
      </w:r>
    </w:p>
    <w:p>
      <w:r>
        <w:t>Commercial implementation uses Stripe test mode before any live activation. Webhooks, rather than browser redirects alone, govern entitlements. Access decisions must remain correct through initial purchase renewal cancellation failed payment refund manual grant and expiry.</w:t>
      </w:r>
    </w:p>
    <w:p>
      <w:pPr>
        <w:pStyle w:val="ListBullet"/>
        <w:spacing w:after="60"/>
      </w:pPr>
      <w:r>
        <w:t>Public offer page and plan comparison</w:t>
      </w:r>
    </w:p>
    <w:p>
      <w:pPr>
        <w:pStyle w:val="ListBullet"/>
        <w:spacing w:after="60"/>
      </w:pPr>
      <w:r>
        <w:t>Account creation and post-payment onboarding</w:t>
      </w:r>
    </w:p>
    <w:p>
      <w:pPr>
        <w:pStyle w:val="ListBullet"/>
        <w:spacing w:after="60"/>
      </w:pPr>
      <w:r>
        <w:t>Webhook-managed plan entitlements</w:t>
      </w:r>
    </w:p>
    <w:p>
      <w:pPr>
        <w:pStyle w:val="ListBullet"/>
        <w:spacing w:after="60"/>
      </w:pPr>
      <w:r>
        <w:t>Capacity controls for Circle and Private places</w:t>
      </w:r>
    </w:p>
    <w:p>
      <w:pPr>
        <w:pStyle w:val="ListBullet"/>
        <w:spacing w:after="60"/>
      </w:pPr>
      <w:r>
        <w:t>Customer subscription-management portal</w:t>
      </w:r>
    </w:p>
    <w:p>
      <w:pPr>
        <w:pStyle w:val="ListBullet"/>
        <w:spacing w:after="60"/>
      </w:pPr>
      <w:r>
        <w:t>Manual administrative grants with audit records</w:t>
      </w:r>
    </w:p>
    <w:p>
      <w:pPr>
        <w:pStyle w:val="ListBullet"/>
        <w:spacing w:after="60"/>
      </w:pPr>
      <w:r>
        <w:t>Ownership privacy cancellation and export terms</w:t>
      </w:r>
    </w:p>
    <w:p>
      <w:pPr>
        <w:pStyle w:val="ListBullet"/>
        <w:spacing w:after="60"/>
      </w:pPr>
      <w:r>
        <w:t>Analytics for offer view checkout start purchase and onboarding completion</w:t>
      </w:r>
    </w:p>
    <w:p>
      <w:pPr>
        <w:pStyle w:val="Heading1"/>
      </w:pPr>
      <w:r>
        <w:t>14 Technical architecture</w:t>
      </w:r>
    </w:p>
    <w:tbl>
      <w:tblPr>
        <w:tblW w:type="auto" w:w="0"/>
        <w:jc w:val="center"/>
        <w:tblLayout w:type="fixed"/>
        <w:tblLook w:firstColumn="1" w:firstRow="1" w:lastColumn="0" w:lastRow="0" w:noHBand="0" w:noVBand="1" w:val="04A0"/>
      </w:tblPr>
      <w:tblGrid>
        <w:gridCol w:w="4939"/>
        <w:gridCol w:w="4939"/>
      </w:tblGrid>
      <w:tr>
        <w:trPr>
          <w:tblHeader/>
        </w:trPr>
        <w:tc>
          <w:tcPr>
            <w:tcW w:type="dxa" w:w="2232"/>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Concern</w:t>
            </w:r>
          </w:p>
        </w:tc>
        <w:tc>
          <w:tcPr>
            <w:tcW w:type="dxa" w:w="7416"/>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Decision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Application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Existing Tides Astro server-rendered application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Hosting</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Existing Cloudflare deployment architecture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Authentication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Existing Supabase authentication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Application data</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New namespaced Supabase tables with row-level security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Private files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Protected Supabase storage unless audit identifies a material constraint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Payments</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Existing Stripe foundation extended through test-mode subscriptions and webhooks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Community</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Existing community adapted after Studio readiness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Development</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Durable remote feature branch with Cloudflare preview deployments</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Production</w:t>
            </w:r>
          </w:p>
        </w:tc>
        <w:tc>
          <w:tcPr>
            <w:tcW w:type="dxa" w:w="74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Main branch remains stable until controlled release</w:t>
            </w:r>
          </w:p>
        </w:tc>
      </w:tr>
    </w:tbl>
    <w:p>
      <w:pPr>
        <w:spacing w:after="20"/>
      </w:pPr>
    </w:p>
    <w:p>
      <w:pPr>
        <w:pStyle w:val="Heading1"/>
      </w:pPr>
      <w:r>
        <w:t>15 Environment and release controls</w:t>
      </w:r>
    </w:p>
    <w:tbl>
      <w:tblPr>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656"/>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Environment</w:t>
            </w:r>
          </w:p>
        </w:tc>
        <w:tc>
          <w:tcPr>
            <w:tcW w:type="dxa" w:w="2448"/>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Code</w:t>
            </w:r>
          </w:p>
        </w:tc>
        <w:tc>
          <w:tcPr>
            <w:tcW w:type="dxa" w:w="3384"/>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Data and payments</w:t>
            </w:r>
          </w:p>
        </w:tc>
        <w:tc>
          <w:tcPr>
            <w:tcW w:type="dxa" w:w="2376"/>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Purpose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Production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main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Production Supabase and Stripe live mode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Current stable Tides service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Deck Studio preview</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feature/deck-creator-studio</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Staging Supabase and Stripe test mode</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Integrated development and acceptance</w:t>
            </w:r>
          </w:p>
        </w:tc>
      </w:tr>
      <w:tr>
        <w:trPr>
          <w:cantSplit/>
        </w:trPr>
        <w:tc>
          <w:tcPr>
            <w:tcW w:type="dxa" w:w="16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Local</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Current feature commit</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Fixtures or staging only</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Implementation and automated testing</w:t>
            </w:r>
          </w:p>
        </w:tc>
      </w:tr>
    </w:tbl>
    <w:p>
      <w:pPr>
        <w:spacing w:after="20"/>
      </w:pPr>
    </w:p>
    <w:p>
      <w:r>
        <w:t>No unfinished migration is applied to production. No preview environment receives production secrets unless a reviewed architecture requires narrowly scoped read-only access. Preview deployment is encouraged after every coherent tranche; production deployment occurs only through an approved merge and release sequence.</w:t>
      </w:r>
    </w:p>
    <w:p>
      <w:pPr>
        <w:pStyle w:val="Heading1"/>
      </w:pPr>
      <w:r>
        <w:t>16 Persistence and recoverability standard</w:t>
      </w:r>
    </w:p>
    <w:p>
      <w:r>
        <w:t>A tranche is not complete merely because it has been committed locally. Every completed tranche must have a durable remote checkpoint.</w:t>
      </w:r>
    </w:p>
    <w:p>
      <w:pPr>
        <w:pStyle w:val="ListNumber"/>
        <w:spacing w:after="60"/>
      </w:pPr>
      <w:r>
        <w:t>Commit the coherent tranche locally and record the SHA.</w:t>
      </w:r>
    </w:p>
    <w:p>
      <w:pPr>
        <w:pStyle w:val="ListNumber"/>
        <w:spacing w:after="60"/>
      </w:pPr>
      <w:r>
        <w:t>Push the commit to the durable remote feature branch.</w:t>
      </w:r>
    </w:p>
    <w:p>
      <w:pPr>
        <w:pStyle w:val="ListNumber"/>
        <w:spacing w:after="60"/>
      </w:pPr>
      <w:r>
        <w:t>Confirm the remote SHA resolves independently of the local workspace.</w:t>
      </w:r>
    </w:p>
    <w:p>
      <w:pPr>
        <w:pStyle w:val="ListNumber"/>
        <w:spacing w:after="60"/>
      </w:pPr>
      <w:r>
        <w:t>Confirm the Cloudflare preview deployment result and URL.</w:t>
      </w:r>
    </w:p>
    <w:p>
      <w:pPr>
        <w:pStyle w:val="ListNumber"/>
        <w:spacing w:after="60"/>
      </w:pPr>
      <w:r>
        <w:t>Record migration state test results and production impact.</w:t>
      </w:r>
    </w:p>
    <w:p>
      <w:pPr>
        <w:pStyle w:val="ListNumber"/>
        <w:spacing w:after="60"/>
      </w:pPr>
      <w:r>
        <w:t>Create a complete Library source archive at major milestones.</w:t>
      </w:r>
    </w:p>
    <w:p>
      <w:pPr>
        <w:pStyle w:val="ListNumber"/>
        <w:spacing w:after="60"/>
      </w:pPr>
      <w:r>
        <w:t>State the exact restoration point before beginning the next tranche.</w:t>
      </w:r>
    </w:p>
    <w:p>
      <w:r>
        <w:t>Temporary workspace storage is never the sole copy of completed work. Network failure or workspace pruning must not be capable of erasing an accepted tranche.</w:t>
      </w:r>
    </w:p>
    <w:p>
      <w:pPr>
        <w:pStyle w:val="Heading1"/>
      </w:pPr>
      <w:r>
        <w:t>17 Rollout sequence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872"/>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Stage</w:t>
            </w:r>
          </w:p>
        </w:tc>
        <w:tc>
          <w:tcPr>
            <w:tcW w:type="dxa" w:w="540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Scope</w:t>
            </w:r>
          </w:p>
        </w:tc>
        <w:tc>
          <w:tcPr>
            <w:tcW w:type="dxa" w:w="2880"/>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Required gate</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0 Durable foundation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Audit main Cloudflare previews staging Supabase Stripe test mode and establish remote feature branch</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Remote branch and harmless preview confirmed</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1 Project foundation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Project types pathways ownership cards ordering versions guidebook settings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Security contracts build and remote preview pass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2 Bird Oracle compatibility</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Archive inventory mapping manifest representative importer and custom configuration</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Representative import reconciles without overfitting</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3 Journal and process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Private journal photographs links sharing selections and process board</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No implicit publication and export test passes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4 Project Pulse and exports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Consent access expiry review queue Markdown JSON and read-only access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Privacy and ownership contracts pass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5 Commercial access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Plans Stripe test checkout webhooks entitlements onboarding portal and capacity</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Complete test purchase renewal failure and cancellation flow passes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6 Programme and artists</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Twelve modules support workflows artist applications directory and introductions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All advertised launch functions complete</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7 Community</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Reposition existing community and connect deliberate journal excerpts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Studio is useful and community privacy boundaries pass</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8 Full Bird Oracle migration</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Dry run staging import reconciliation and production import after release</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No silent loss duplication or manual re-entry</w:t>
            </w:r>
          </w:p>
        </w:tc>
      </w:tr>
      <w:tr>
        <w:trPr>
          <w:cantSplit/>
        </w:trPr>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9 Controlled launch</w:t>
            </w:r>
          </w:p>
        </w:tc>
        <w:tc>
          <w:tcPr>
            <w:tcW w:type="dxa" w:w="540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Production migrations merge navigation enrolment and monitoring</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End-to-end launch checklist approved</w:t>
            </w:r>
          </w:p>
        </w:tc>
      </w:tr>
    </w:tbl>
    <w:p>
      <w:pPr>
        <w:spacing w:after="20"/>
      </w:pPr>
    </w:p>
    <w:p>
      <w:pPr>
        <w:pStyle w:val="Heading1"/>
      </w:pPr>
      <w:r>
        <w:t>18 Launch completeness standard</w:t>
      </w:r>
    </w:p>
    <w:p>
      <w:r>
        <w:t>The platform launches ready to fulfil its paid promise. Essential advertised capabilities are not labelled coming soon after payment begins.</w:t>
      </w:r>
    </w:p>
    <w:p>
      <w:pPr>
        <w:pStyle w:val="ListBullet"/>
        <w:spacing w:after="60"/>
      </w:pPr>
      <w:r>
        <w:t>All twelve modules written loaded and scheduled</w:t>
      </w:r>
    </w:p>
    <w:p>
      <w:pPr>
        <w:pStyle w:val="ListBullet"/>
        <w:spacing w:after="60"/>
      </w:pPr>
      <w:r>
        <w:t>All three plans purchasable and correctly entitled</w:t>
      </w:r>
    </w:p>
    <w:p>
      <w:pPr>
        <w:pStyle w:val="ListBullet"/>
        <w:spacing w:after="60"/>
      </w:pPr>
      <w:r>
        <w:t>Complete private deck card guidebook journal and export journey</w:t>
      </w:r>
    </w:p>
    <w:p>
      <w:pPr>
        <w:pStyle w:val="ListBullet"/>
        <w:spacing w:after="60"/>
      </w:pPr>
      <w:r>
        <w:t>Human overview Circle and private support operations defined</w:t>
      </w:r>
    </w:p>
    <w:p>
      <w:pPr>
        <w:pStyle w:val="ListBullet"/>
        <w:spacing w:after="60"/>
      </w:pPr>
      <w:r>
        <w:t>Artist submission curation discovery and introductions working</w:t>
      </w:r>
    </w:p>
    <w:p>
      <w:pPr>
        <w:pStyle w:val="ListBullet"/>
        <w:spacing w:after="60"/>
      </w:pPr>
      <w:r>
        <w:t>Ownership privacy cancellation deletion and export controls working</w:t>
      </w:r>
    </w:p>
    <w:p>
      <w:pPr>
        <w:pStyle w:val="ListBullet"/>
        <w:spacing w:after="60"/>
      </w:pPr>
      <w:r>
        <w:t>Production and publication pathways support personal independent and commercial outcomes</w:t>
      </w:r>
    </w:p>
    <w:p>
      <w:pPr>
        <w:pStyle w:val="ListBullet"/>
        <w:spacing w:after="60"/>
      </w:pPr>
      <w:r>
        <w:t>End-to-end enrolment renewal failure cancellation and recovery tested</w:t>
      </w:r>
    </w:p>
    <w:p>
      <w:pPr>
        <w:pStyle w:val="ListBullet"/>
        <w:spacing w:after="60"/>
      </w:pPr>
      <w:r>
        <w:t>No incomplete public navigation or accidental private-content exposure</w:t>
      </w:r>
    </w:p>
    <w:p>
      <w:pPr>
        <w:pStyle w:val="Heading1"/>
      </w:pPr>
      <w:r>
        <w:t>19 Success measures</w:t>
      </w:r>
    </w:p>
    <w:tbl>
      <w:tblPr>
        <w:tblW w:type="auto" w:w="0"/>
        <w:jc w:val="center"/>
        <w:tblLayout w:type="fixed"/>
        <w:tblLook w:firstColumn="1" w:firstRow="1" w:lastColumn="0" w:lastRow="0" w:noHBand="0" w:noVBand="1" w:val="04A0"/>
      </w:tblPr>
      <w:tblGrid>
        <w:gridCol w:w="4939"/>
        <w:gridCol w:w="4939"/>
      </w:tblGrid>
      <w:tr>
        <w:trPr>
          <w:tblHeader/>
        </w:trPr>
        <w:tc>
          <w:tcPr>
            <w:tcW w:type="dxa" w:w="1944"/>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Dimension</w:t>
            </w:r>
          </w:p>
        </w:tc>
        <w:tc>
          <w:tcPr>
            <w:tcW w:type="dxa" w:w="7704"/>
            <w:shd w:fill="24344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jc w:val="left"/>
            </w:pPr>
            <w:r>
              <w:rPr>
                <w:b/>
                <w:color w:val="FFFFFF"/>
              </w:rPr>
              <w:t>Initial measure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Revenue</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At least US$5,000 collected monthly revenue by month three with US$6,000 to US$7,000 preferred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Enrolment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Two five-person Guided Circles or an equivalent balanced plan mix</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Activation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Paid creator creates a project and completes onboarding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Progress</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Cards guidebook modules and milestones show meaningful use</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Retention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Circle members continue through the third committed payment and Studio cancellations remain understood</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Support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Project Pulse requests remain within scope and response commitment</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Collaboration</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pStyle w:val="TableText"/>
            </w:pPr>
            <w:r>
              <w:t>Qualified artist profiles and accepted introduction requests</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Trust</w:t>
            </w:r>
          </w:p>
        </w:tc>
        <w:tc>
          <w:tcPr>
            <w:tcW w:type="dxa" w:w="77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shd w:fill="F2F5F9"/>
            <w:vAlign w:val="center"/>
          </w:tcPr>
          <w:p>
            <w:pPr>
              <w:pStyle w:val="TableText"/>
            </w:pPr>
            <w:r>
              <w:t>No unauthorised manuscript access content loss or silent migration exceptions</w:t>
            </w:r>
          </w:p>
        </w:tc>
      </w:tr>
    </w:tbl>
    <w:p>
      <w:pPr>
        <w:spacing w:after="20"/>
      </w:pPr>
    </w:p>
    <w:p>
      <w:pPr>
        <w:pStyle w:val="Heading1"/>
      </w:pPr>
      <w:r>
        <w:t>20 Governance and change control</w:t>
      </w:r>
    </w:p>
    <w:p>
      <w:r>
        <w:t>This reference governs product direction and build sequencing. Implementation details may evolve when testing identifies a better method, but changes that affect the commercial promise, creator ownership, privacy, prices, core programme, Bird Oracle migration, community role or launch scope require Leilia's explicit approval.</w:t>
      </w:r>
    </w:p>
    <w:p>
      <w:r>
        <w:t>Every tranche report must state what changed, what was tested, where it was preserved, what preview was produced, whether any external state changed and the exact next authorised move. Production changes must never be inferred from permission to build a preview.</w:t>
      </w:r>
    </w:p>
    <w:p>
      <w:pPr>
        <w:pStyle w:val="Heading1"/>
      </w:pPr>
      <w:r>
        <w:t>21 Immediate next move</w:t>
      </w:r>
    </w:p>
    <w:p>
      <w:r>
        <w:t>The next authorised activity should be a read-only infrastructure and source audit. It must verify the current Tides main branch, Cloudflare production and preview controls, existing Supabase and Stripe environment boundaries, member navigation, community architecture and the Bird Oracle ZIP structure. It must then produce the exact Stage 0 implementation plan.</w:t>
      </w:r>
    </w:p>
    <w:p>
      <w:r>
        <w:t>No reconstruction should begin until the audit identifies a durable remote branch workflow. Once confirmed, the branch is created and pushed before substantial coding begins. Reconstruction then proceeds through the numbered stages in this document, with remote persistence and preview verification after every coherent tranche.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Tides of Knowing Deck Creator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Display" w:hAnsi="Aptos Display"/>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52"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Tides of Knowing Deck Creator Studio Platform Reference</dc:title>
  <dc:subject>Governing product architecture build sequence and recovery standard</dc:subject>
  <dc:creator>Leilia</dc:creator>
  <cp:keywords>Tides of Knowing, Deck Creator Studio, oracle deck, tarot deck, platform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