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CICS</w:t>
            </w:r>
            <w:r>
              <w:rPr>
                <w:rFonts w:ascii="Noto Sans" w:hAnsi="Noto Sans"/>
                <w:sz w:val="28"/>
                <w:szCs w:val="28"/>
              </w:rPr>
              <w:t xml:space="preserve"> 1</w:t>
            </w:r>
            <w:r>
              <w:rPr>
                <w:rFonts w:ascii="Noto Sans" w:hAnsi="Noto Sans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factorial(int num)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if (num == 0)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return 1;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return num * factorial(num - 1);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main()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int num;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"\n\n=====      FACTORIAL       =====\n\n";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"Enter a non-negative integer: 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cin &gt;&gt; num;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if (num &lt; 0)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"Invalid input. Enter a non-negative integer: 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cin &gt;&gt; num;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else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int fact = factorial(num);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"\n\nThe factorial of " &lt;&lt; num &lt;&lt; " is: " &lt;&lt; fact &lt;&lt; "\n\n";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return 0;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0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771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LibreOffice/7.6.2.1$Windows_X86_64 LibreOffice_project/56f7684011345957bbf33a7ee678afaf4d2ba333</Application>
  <AppVersion>15.0000</AppVersion>
  <Pages>4</Pages>
  <Words>132</Words>
  <Characters>624</Characters>
  <CharactersWithSpaces>836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2025-08-20T20:56:29Z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