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Rogers Delator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</w:t>
            </w:r>
            <w:r>
              <w:rPr>
                <w:rFonts w:ascii="Noto Sans" w:hAnsi="Noto Sans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find sum and average of three numbers.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   Sum and Average Calculator.    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a, b,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sum,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"\n\nEnter the three numbers: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a &gt;&gt; b &gt;&gt;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sum = a + b +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average = sum / 3;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sum of " &lt;&lt; a &lt;&lt; ", " &lt;&lt; b &lt;&lt; ", and " &lt;&lt; c &lt;&lt; " is: " &lt;&lt; sum;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average of " &lt;&lt; a &lt;&lt; ", " &lt;&lt; b &lt;&lt; ", and " &lt;&lt; c &lt;&lt; " is: " &lt;&lt;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4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Result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21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4</Pages>
  <Words>159</Words>
  <Characters>645</Characters>
  <CharactersWithSpaces>985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2025-08-27T09:40:30Z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