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oto Sans" w:hAnsi="Noto Sans"/>
          <w:sz w:val="36"/>
          <w:szCs w:val="36"/>
        </w:rPr>
      </w:pPr>
      <w:r>
        <w:rPr>
          <w:rFonts w:ascii="Noto Sans" w:hAnsi="Noto Sans"/>
          <w:sz w:val="36"/>
          <w:szCs w:val="36"/>
        </w:rPr>
        <mc:AlternateContent>
          <mc:Choice Requires="wps">
            <w:drawing>
              <wp:anchor behindDoc="0" distT="0" distB="0" distL="0" distR="0" simplePos="0" locked="0" layoutInCell="1" allowOverlap="1" relativeHeight="2">
                <wp:simplePos x="0" y="0"/>
                <wp:positionH relativeFrom="column">
                  <wp:posOffset>2174240</wp:posOffset>
                </wp:positionH>
                <wp:positionV relativeFrom="paragraph">
                  <wp:posOffset>-99695</wp:posOffset>
                </wp:positionV>
                <wp:extent cx="3895725" cy="1517650"/>
                <wp:effectExtent l="0" t="0" r="0" b="0"/>
                <wp:wrapNone/>
                <wp:docPr id="1" name="Text Frame 1"/>
                <a:graphic xmlns:a="http://schemas.openxmlformats.org/drawingml/2006/main">
                  <a:graphicData uri="http://schemas.microsoft.com/office/word/2010/wordprocessingShape">
                    <wps:wsp>
                      <wps:cNvSpPr/>
                      <wps:spPr>
                        <a:xfrm>
                          <a:off x="0" y="0"/>
                          <a:ext cx="3895560" cy="1517760"/>
                        </a:xfrm>
                        <a:prstGeom prst="rect">
                          <a:avLst/>
                        </a:prstGeom>
                        <a:noFill/>
                        <a:ln w="0">
                          <a:noFill/>
                        </a:ln>
                      </wps:spPr>
                      <wps:style>
                        <a:lnRef idx="0"/>
                        <a:fillRef idx="0"/>
                        <a:effectRef idx="0"/>
                        <a:fontRef idx="minor"/>
                      </wps:style>
                      <wps:txbx>
                        <w:txbxContent>
                          <w:p>
                            <w:pPr>
                              <w:pStyle w:val="FrameContents"/>
                              <w:bidi w:val="0"/>
                              <w:rPr>
                                <w:rFonts w:ascii="Noto Sans" w:hAnsi="Noto Sans"/>
                                <w:b/>
                                <w:bCs/>
                                <w:sz w:val="36"/>
                                <w:szCs w:val="36"/>
                              </w:rPr>
                            </w:pPr>
                            <w:r>
                              <w:rPr>
                                <w:rFonts w:cs="Noto Sans" w:ascii="Noto Sans" w:hAnsi="Noto Sans"/>
                                <w:b/>
                                <w:bCs/>
                                <w:sz w:val="36"/>
                                <w:szCs w:val="36"/>
                              </w:rPr>
                              <w:t>GHANA COMMUNICATION</w:t>
                            </w:r>
                          </w:p>
                          <w:p>
                            <w:pPr>
                              <w:pStyle w:val="FrameContents"/>
                              <w:bidi w:val="0"/>
                              <w:rPr>
                                <w:rFonts w:ascii="Noto Sans" w:hAnsi="Noto Sans"/>
                                <w:b/>
                                <w:bCs/>
                                <w:sz w:val="36"/>
                                <w:szCs w:val="36"/>
                              </w:rPr>
                            </w:pPr>
                            <w:r>
                              <w:rPr>
                                <w:rFonts w:cs="Noto Sans" w:ascii="Noto Sans" w:hAnsi="Noto Sans"/>
                                <w:b/>
                                <w:bCs/>
                                <w:sz w:val="36"/>
                                <w:szCs w:val="36"/>
                              </w:rPr>
                              <w:t>TECHNOLOGY UNIVERSITY</w:t>
                            </w:r>
                          </w:p>
                          <w:p>
                            <w:pPr>
                              <w:pStyle w:val="FrameContents"/>
                              <w:bidi w:val="0"/>
                              <w:rPr>
                                <w:rFonts w:ascii="Noto Sans" w:hAnsi="Noto Sans"/>
                                <w:b/>
                                <w:bCs/>
                                <w:sz w:val="36"/>
                                <w:szCs w:val="36"/>
                              </w:rPr>
                            </w:pPr>
                            <w:r>
                              <w:rPr>
                                <w:rFonts w:ascii="Noto Sans" w:hAnsi="Noto Sans"/>
                                <w:b/>
                                <w:bCs/>
                                <w:sz w:val="36"/>
                                <w:szCs w:val="36"/>
                              </w:rPr>
                            </w:r>
                          </w:p>
                          <w:p>
                            <w:pPr>
                              <w:pStyle w:val="FrameContents"/>
                              <w:bidi w:val="0"/>
                              <w:rPr>
                                <w:rFonts w:ascii="Noto Sans" w:hAnsi="Noto Sans"/>
                                <w:b/>
                                <w:bCs/>
                                <w:sz w:val="36"/>
                                <w:szCs w:val="36"/>
                              </w:rPr>
                            </w:pPr>
                            <w:r>
                              <w:rPr>
                                <w:rFonts w:cs="Noto Sans" w:ascii="Noto Sans" w:hAnsi="Noto Sans"/>
                                <w:b/>
                                <w:bCs/>
                                <w:sz w:val="36"/>
                                <w:szCs w:val="36"/>
                              </w:rPr>
                              <w:t>INSTITUTE OF CONTINUING</w:t>
                            </w:r>
                          </w:p>
                          <w:p>
                            <w:pPr>
                              <w:pStyle w:val="FrameContents"/>
                              <w:bidi w:val="0"/>
                              <w:rPr>
                                <w:rFonts w:ascii="Noto Sans" w:hAnsi="Noto Sans"/>
                                <w:b/>
                                <w:bCs/>
                                <w:sz w:val="36"/>
                                <w:szCs w:val="36"/>
                              </w:rPr>
                            </w:pPr>
                            <w:r>
                              <w:rPr>
                                <w:rFonts w:cs="Noto Sans" w:ascii="Noto Sans" w:hAnsi="Noto Sans"/>
                                <w:b/>
                                <w:bCs/>
                                <w:sz w:val="36"/>
                                <w:szCs w:val="36"/>
                              </w:rPr>
                              <w:t>AND DISTANCE EDUCATION (ICDE)</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171.2pt;margin-top:-7.85pt;width:306.7pt;height:119.45pt;mso-wrap-style:square;v-text-anchor:top">
                <v:fill o:detectmouseclick="t" on="false"/>
                <v:stroke color="#3465a4" joinstyle="round" endcap="flat"/>
                <v:textbox>
                  <w:txbxContent>
                    <w:p>
                      <w:pPr>
                        <w:pStyle w:val="FrameContents"/>
                        <w:bidi w:val="0"/>
                        <w:rPr>
                          <w:rFonts w:ascii="Noto Sans" w:hAnsi="Noto Sans"/>
                          <w:b/>
                          <w:bCs/>
                          <w:sz w:val="36"/>
                          <w:szCs w:val="36"/>
                        </w:rPr>
                      </w:pPr>
                      <w:r>
                        <w:rPr>
                          <w:rFonts w:cs="Noto Sans" w:ascii="Noto Sans" w:hAnsi="Noto Sans"/>
                          <w:b/>
                          <w:bCs/>
                          <w:sz w:val="36"/>
                          <w:szCs w:val="36"/>
                        </w:rPr>
                        <w:t>GHANA COMMUNICATION</w:t>
                      </w:r>
                    </w:p>
                    <w:p>
                      <w:pPr>
                        <w:pStyle w:val="FrameContents"/>
                        <w:bidi w:val="0"/>
                        <w:rPr>
                          <w:rFonts w:ascii="Noto Sans" w:hAnsi="Noto Sans"/>
                          <w:b/>
                          <w:bCs/>
                          <w:sz w:val="36"/>
                          <w:szCs w:val="36"/>
                        </w:rPr>
                      </w:pPr>
                      <w:r>
                        <w:rPr>
                          <w:rFonts w:cs="Noto Sans" w:ascii="Noto Sans" w:hAnsi="Noto Sans"/>
                          <w:b/>
                          <w:bCs/>
                          <w:sz w:val="36"/>
                          <w:szCs w:val="36"/>
                        </w:rPr>
                        <w:t>TECHNOLOGY UNIVERSITY</w:t>
                      </w:r>
                    </w:p>
                    <w:p>
                      <w:pPr>
                        <w:pStyle w:val="FrameContents"/>
                        <w:bidi w:val="0"/>
                        <w:rPr>
                          <w:rFonts w:ascii="Noto Sans" w:hAnsi="Noto Sans"/>
                          <w:b/>
                          <w:bCs/>
                          <w:sz w:val="36"/>
                          <w:szCs w:val="36"/>
                        </w:rPr>
                      </w:pPr>
                      <w:r>
                        <w:rPr>
                          <w:rFonts w:ascii="Noto Sans" w:hAnsi="Noto Sans"/>
                          <w:b/>
                          <w:bCs/>
                          <w:sz w:val="36"/>
                          <w:szCs w:val="36"/>
                        </w:rPr>
                      </w:r>
                    </w:p>
                    <w:p>
                      <w:pPr>
                        <w:pStyle w:val="FrameContents"/>
                        <w:bidi w:val="0"/>
                        <w:rPr>
                          <w:rFonts w:ascii="Noto Sans" w:hAnsi="Noto Sans"/>
                          <w:b/>
                          <w:bCs/>
                          <w:sz w:val="36"/>
                          <w:szCs w:val="36"/>
                        </w:rPr>
                      </w:pPr>
                      <w:r>
                        <w:rPr>
                          <w:rFonts w:cs="Noto Sans" w:ascii="Noto Sans" w:hAnsi="Noto Sans"/>
                          <w:b/>
                          <w:bCs/>
                          <w:sz w:val="36"/>
                          <w:szCs w:val="36"/>
                        </w:rPr>
                        <w:t>INSTITUTE OF CONTINUING</w:t>
                      </w:r>
                    </w:p>
                    <w:p>
                      <w:pPr>
                        <w:pStyle w:val="FrameContents"/>
                        <w:bidi w:val="0"/>
                        <w:rPr>
                          <w:rFonts w:ascii="Noto Sans" w:hAnsi="Noto Sans"/>
                          <w:b/>
                          <w:bCs/>
                          <w:sz w:val="36"/>
                          <w:szCs w:val="36"/>
                        </w:rPr>
                      </w:pPr>
                      <w:r>
                        <w:rPr>
                          <w:rFonts w:cs="Noto Sans" w:ascii="Noto Sans" w:hAnsi="Noto Sans"/>
                          <w:b/>
                          <w:bCs/>
                          <w:sz w:val="36"/>
                          <w:szCs w:val="36"/>
                        </w:rPr>
                        <w:t>AND DISTANCE EDUCATION (ICDE)</w:t>
                      </w:r>
                    </w:p>
                  </w:txbxContent>
                </v:textbox>
                <w10:wrap type="none"/>
              </v:rect>
            </w:pict>
          </mc:Fallback>
        </mc:AlternateContent>
        <w:drawing>
          <wp:anchor behindDoc="0" distT="0" distB="0" distL="0" distR="0" simplePos="0" locked="0" layoutInCell="0" allowOverlap="1" relativeHeight="4">
            <wp:simplePos x="0" y="0"/>
            <wp:positionH relativeFrom="column">
              <wp:posOffset>50165</wp:posOffset>
            </wp:positionH>
            <wp:positionV relativeFrom="paragraph">
              <wp:posOffset>-135255</wp:posOffset>
            </wp:positionV>
            <wp:extent cx="1553210" cy="1560195"/>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tretch>
                      <a:fillRect/>
                    </a:stretch>
                  </pic:blipFill>
                  <pic:spPr bwMode="auto">
                    <a:xfrm>
                      <a:off x="0" y="0"/>
                      <a:ext cx="1553210" cy="1560195"/>
                    </a:xfrm>
                    <a:prstGeom prst="rect">
                      <a:avLst/>
                    </a:prstGeom>
                  </pic:spPr>
                </pic:pic>
              </a:graphicData>
            </a:graphic>
          </wp:anchor>
        </w:drawing>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tbl>
      <w:tblPr>
        <w:tblW w:w="9645" w:type="dxa"/>
        <w:jc w:val="start"/>
        <w:tblInd w:w="-5" w:type="dxa"/>
        <w:tblLayout w:type="fixed"/>
        <w:tblCellMar>
          <w:top w:w="202" w:type="dxa"/>
          <w:start w:w="202" w:type="dxa"/>
          <w:bottom w:w="202" w:type="dxa"/>
          <w:end w:w="202" w:type="dxa"/>
        </w:tblCellMar>
      </w:tblPr>
      <w:tblGrid>
        <w:gridCol w:w="3150"/>
        <w:gridCol w:w="6495"/>
      </w:tblGrid>
      <w:tr>
        <w:trPr/>
        <w:tc>
          <w:tcPr>
            <w:tcW w:w="9645" w:type="dxa"/>
            <w:gridSpan w:val="2"/>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Noto Sans" w:hAnsi="Noto Sans"/>
                <w:b/>
                <w:bCs/>
                <w:sz w:val="36"/>
                <w:szCs w:val="36"/>
              </w:rPr>
            </w:pPr>
            <w:r>
              <w:rPr>
                <w:rFonts w:ascii="Noto Sans" w:hAnsi="Noto Sans"/>
                <w:b/>
                <w:bCs/>
                <w:sz w:val="36"/>
                <w:szCs w:val="36"/>
              </w:rPr>
              <w:t>BSc INFORMATION TECHNOLOGY – DISTANCE</w:t>
            </w:r>
          </w:p>
        </w:tc>
      </w:tr>
      <w:tr>
        <w:trPr/>
        <w:tc>
          <w:tcPr>
            <w:tcW w:w="3150" w:type="dxa"/>
            <w:tcBorders>
              <w:start w:val="single" w:sz="4" w:space="0" w:color="000000"/>
              <w:bottom w:val="single" w:sz="4" w:space="0" w:color="000000"/>
            </w:tcBorders>
          </w:tcPr>
          <w:p>
            <w:pPr>
              <w:pStyle w:val="TableContents"/>
              <w:bidi w:val="0"/>
              <w:jc w:val="start"/>
              <w:rPr>
                <w:rFonts w:ascii="Noto Sans" w:hAnsi="Noto Sans"/>
                <w:sz w:val="36"/>
                <w:szCs w:val="36"/>
              </w:rPr>
            </w:pPr>
            <w:r>
              <w:rPr>
                <w:rFonts w:ascii="Noto Sans" w:hAnsi="Noto Sans"/>
                <w:sz w:val="36"/>
                <w:szCs w:val="36"/>
              </w:rPr>
              <w:t>COURSE CODE</w:t>
            </w:r>
          </w:p>
        </w:tc>
        <w:tc>
          <w:tcPr>
            <w:tcW w:w="6495" w:type="dxa"/>
            <w:tcBorders>
              <w:start w:val="single" w:sz="4" w:space="0" w:color="000000"/>
              <w:bottom w:val="single" w:sz="4" w:space="0" w:color="000000"/>
              <w:end w:val="single" w:sz="4" w:space="0" w:color="000000"/>
            </w:tcBorders>
            <w:tcMar>
              <w:start w:w="374" w:type="dxa"/>
            </w:tcMar>
          </w:tcPr>
          <w:p>
            <w:pPr>
              <w:pStyle w:val="TableContents"/>
              <w:bidi w:val="0"/>
              <w:jc w:val="start"/>
              <w:rPr>
                <w:rFonts w:ascii="Noto Sans" w:hAnsi="Noto Sans"/>
                <w:sz w:val="36"/>
                <w:szCs w:val="36"/>
              </w:rPr>
            </w:pPr>
            <w:r>
              <w:rPr>
                <w:rFonts w:ascii="Noto Sans" w:hAnsi="Noto Sans"/>
                <w:sz w:val="36"/>
                <w:szCs w:val="36"/>
              </w:rPr>
              <w:t xml:space="preserve">GSSS 162 </w:t>
            </w:r>
          </w:p>
        </w:tc>
      </w:tr>
      <w:tr>
        <w:trPr/>
        <w:tc>
          <w:tcPr>
            <w:tcW w:w="3150" w:type="dxa"/>
            <w:tcBorders>
              <w:start w:val="single" w:sz="4" w:space="0" w:color="000000"/>
              <w:bottom w:val="single" w:sz="4" w:space="0" w:color="000000"/>
            </w:tcBorders>
          </w:tcPr>
          <w:p>
            <w:pPr>
              <w:pStyle w:val="TableContents"/>
              <w:bidi w:val="0"/>
              <w:jc w:val="start"/>
              <w:rPr>
                <w:rFonts w:ascii="Noto Sans" w:hAnsi="Noto Sans"/>
                <w:sz w:val="36"/>
                <w:szCs w:val="36"/>
              </w:rPr>
            </w:pPr>
            <w:r>
              <w:rPr>
                <w:rFonts w:ascii="Noto Sans" w:hAnsi="Noto Sans"/>
                <w:sz w:val="36"/>
                <w:szCs w:val="36"/>
              </w:rPr>
              <w:t>COURSE TITLE</w:t>
            </w:r>
          </w:p>
        </w:tc>
        <w:tc>
          <w:tcPr>
            <w:tcW w:w="6495" w:type="dxa"/>
            <w:tcBorders>
              <w:start w:val="single" w:sz="4" w:space="0" w:color="000000"/>
              <w:bottom w:val="single" w:sz="4" w:space="0" w:color="000000"/>
              <w:end w:val="single" w:sz="4" w:space="0" w:color="000000"/>
            </w:tcBorders>
            <w:tcMar>
              <w:start w:w="374" w:type="dxa"/>
            </w:tcMar>
          </w:tcPr>
          <w:p>
            <w:pPr>
              <w:pStyle w:val="TableContents"/>
              <w:bidi w:val="0"/>
              <w:jc w:val="start"/>
              <w:rPr>
                <w:rFonts w:ascii="Noto Sans" w:hAnsi="Noto Sans"/>
                <w:sz w:val="36"/>
                <w:szCs w:val="36"/>
              </w:rPr>
            </w:pPr>
            <w:r>
              <w:rPr>
                <w:rFonts w:ascii="Noto Sans" w:hAnsi="Noto Sans"/>
                <w:sz w:val="36"/>
                <w:szCs w:val="36"/>
              </w:rPr>
              <w:t>Communication Skills</w:t>
            </w:r>
          </w:p>
        </w:tc>
      </w:tr>
      <w:tr>
        <w:trPr/>
        <w:tc>
          <w:tcPr>
            <w:tcW w:w="3150" w:type="dxa"/>
            <w:tcBorders>
              <w:start w:val="single" w:sz="4" w:space="0" w:color="000000"/>
              <w:bottom w:val="single" w:sz="4" w:space="0" w:color="000000"/>
            </w:tcBorders>
          </w:tcPr>
          <w:p>
            <w:pPr>
              <w:pStyle w:val="TableContents"/>
              <w:bidi w:val="0"/>
              <w:jc w:val="start"/>
              <w:rPr>
                <w:rFonts w:ascii="Noto Sans" w:hAnsi="Noto Sans"/>
                <w:sz w:val="36"/>
                <w:szCs w:val="36"/>
              </w:rPr>
            </w:pPr>
            <w:r>
              <w:rPr>
                <w:rFonts w:ascii="Noto Sans" w:hAnsi="Noto Sans"/>
                <w:sz w:val="36"/>
                <w:szCs w:val="36"/>
              </w:rPr>
              <w:t>NAME</w:t>
            </w:r>
          </w:p>
        </w:tc>
        <w:tc>
          <w:tcPr>
            <w:tcW w:w="6495" w:type="dxa"/>
            <w:tcBorders>
              <w:start w:val="single" w:sz="4" w:space="0" w:color="000000"/>
              <w:bottom w:val="single" w:sz="4" w:space="0" w:color="000000"/>
              <w:end w:val="single" w:sz="4" w:space="0" w:color="000000"/>
            </w:tcBorders>
            <w:tcMar>
              <w:start w:w="374" w:type="dxa"/>
            </w:tcMar>
          </w:tcPr>
          <w:p>
            <w:pPr>
              <w:pStyle w:val="TableContents"/>
              <w:bidi w:val="0"/>
              <w:jc w:val="start"/>
              <w:rPr>
                <w:rFonts w:ascii="Noto Sans" w:hAnsi="Noto Sans"/>
                <w:sz w:val="36"/>
                <w:szCs w:val="36"/>
              </w:rPr>
            </w:pPr>
            <w:r>
              <w:rPr>
                <w:rFonts w:ascii="Noto Sans" w:hAnsi="Noto Sans"/>
                <w:sz w:val="36"/>
                <w:szCs w:val="36"/>
              </w:rPr>
              <w:t>Agbenyo Delator Rogers</w:t>
            </w:r>
          </w:p>
        </w:tc>
      </w:tr>
      <w:tr>
        <w:trPr/>
        <w:tc>
          <w:tcPr>
            <w:tcW w:w="3150" w:type="dxa"/>
            <w:tcBorders>
              <w:start w:val="single" w:sz="4" w:space="0" w:color="000000"/>
              <w:bottom w:val="single" w:sz="4" w:space="0" w:color="000000"/>
            </w:tcBorders>
          </w:tcPr>
          <w:p>
            <w:pPr>
              <w:pStyle w:val="TableContents"/>
              <w:bidi w:val="0"/>
              <w:jc w:val="start"/>
              <w:rPr>
                <w:rFonts w:ascii="Noto Sans" w:hAnsi="Noto Sans"/>
                <w:sz w:val="36"/>
                <w:szCs w:val="36"/>
              </w:rPr>
            </w:pPr>
            <w:r>
              <w:rPr>
                <w:rFonts w:ascii="Noto Sans" w:hAnsi="Noto Sans"/>
                <w:sz w:val="36"/>
                <w:szCs w:val="36"/>
              </w:rPr>
              <w:t>STUDENT ID</w:t>
            </w:r>
          </w:p>
        </w:tc>
        <w:tc>
          <w:tcPr>
            <w:tcW w:w="6495" w:type="dxa"/>
            <w:tcBorders>
              <w:start w:val="single" w:sz="4" w:space="0" w:color="000000"/>
              <w:bottom w:val="single" w:sz="4" w:space="0" w:color="000000"/>
              <w:end w:val="single" w:sz="4" w:space="0" w:color="000000"/>
            </w:tcBorders>
            <w:tcMar>
              <w:start w:w="374" w:type="dxa"/>
            </w:tcMar>
          </w:tcPr>
          <w:p>
            <w:pPr>
              <w:pStyle w:val="TableContents"/>
              <w:bidi w:val="0"/>
              <w:jc w:val="start"/>
              <w:rPr>
                <w:rFonts w:ascii="Noto Sans" w:hAnsi="Noto Sans"/>
                <w:sz w:val="36"/>
                <w:szCs w:val="36"/>
              </w:rPr>
            </w:pPr>
            <w:r>
              <w:rPr>
                <w:rFonts w:ascii="Noto Sans" w:hAnsi="Noto Sans"/>
                <w:sz w:val="36"/>
                <w:szCs w:val="36"/>
              </w:rPr>
              <w:t>2425140023</w:t>
            </w:r>
          </w:p>
        </w:tc>
      </w:tr>
      <w:tr>
        <w:trPr/>
        <w:tc>
          <w:tcPr>
            <w:tcW w:w="3150" w:type="dxa"/>
            <w:tcBorders>
              <w:start w:val="single" w:sz="4" w:space="0" w:color="000000"/>
              <w:bottom w:val="single" w:sz="4" w:space="0" w:color="000000"/>
            </w:tcBorders>
          </w:tcPr>
          <w:p>
            <w:pPr>
              <w:pStyle w:val="TableContents"/>
              <w:bidi w:val="0"/>
              <w:jc w:val="start"/>
              <w:rPr>
                <w:rFonts w:ascii="Noto Sans" w:hAnsi="Noto Sans"/>
                <w:sz w:val="36"/>
                <w:szCs w:val="36"/>
              </w:rPr>
            </w:pPr>
            <w:r>
              <w:rPr>
                <w:rFonts w:ascii="Noto Sans" w:hAnsi="Noto Sans"/>
                <w:sz w:val="36"/>
                <w:szCs w:val="36"/>
              </w:rPr>
              <w:t>DATE</w:t>
            </w:r>
          </w:p>
        </w:tc>
        <w:tc>
          <w:tcPr>
            <w:tcW w:w="6495" w:type="dxa"/>
            <w:tcBorders>
              <w:start w:val="single" w:sz="4" w:space="0" w:color="000000"/>
              <w:bottom w:val="single" w:sz="4" w:space="0" w:color="000000"/>
              <w:end w:val="single" w:sz="4" w:space="0" w:color="000000"/>
            </w:tcBorders>
            <w:tcMar>
              <w:start w:w="374" w:type="dxa"/>
            </w:tcMar>
          </w:tcPr>
          <w:p>
            <w:pPr>
              <w:pStyle w:val="TableContents"/>
              <w:bidi w:val="0"/>
              <w:jc w:val="start"/>
              <w:rPr>
                <w:rFonts w:ascii="Noto Sans" w:hAnsi="Noto Sans"/>
                <w:sz w:val="36"/>
                <w:szCs w:val="36"/>
              </w:rPr>
            </w:pPr>
            <w:r>
              <w:rPr>
                <w:rFonts w:ascii="Noto Sans" w:hAnsi="Noto Sans"/>
                <w:sz w:val="36"/>
                <w:szCs w:val="36"/>
              </w:rPr>
              <w:t>30</w:t>
            </w:r>
            <w:r>
              <w:rPr>
                <w:rFonts w:ascii="Noto Sans" w:hAnsi="Noto Sans"/>
                <w:sz w:val="36"/>
                <w:szCs w:val="36"/>
                <w:vertAlign w:val="superscript"/>
              </w:rPr>
              <w:t>th</w:t>
            </w:r>
            <w:r>
              <w:rPr>
                <w:rFonts w:ascii="Noto Sans" w:hAnsi="Noto Sans"/>
                <w:sz w:val="36"/>
                <w:szCs w:val="36"/>
              </w:rPr>
              <w:t xml:space="preserve"> </w:t>
            </w:r>
            <w:r>
              <w:rPr>
                <w:rFonts w:ascii="Noto Sans" w:hAnsi="Noto Sans"/>
                <w:sz w:val="36"/>
                <w:szCs w:val="36"/>
              </w:rPr>
              <w:t>October</w:t>
            </w:r>
            <w:r>
              <w:rPr>
                <w:rFonts w:ascii="Noto Sans" w:hAnsi="Noto Sans"/>
                <w:sz w:val="36"/>
                <w:szCs w:val="36"/>
              </w:rPr>
              <w:t>, 2025</w:t>
            </w:r>
          </w:p>
        </w:tc>
      </w:tr>
    </w:tbl>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Heading3"/>
        <w:bidi w:val="0"/>
        <w:jc w:val="start"/>
        <w:rPr>
          <w:rStyle w:val="Strong"/>
          <w:rFonts w:ascii="Noto Sans" w:hAnsi="Noto Sans"/>
          <w:sz w:val="36"/>
          <w:szCs w:val="36"/>
        </w:rPr>
      </w:pPr>
      <w:r>
        <w:rPr>
          <w:rFonts w:ascii="Noto Sans" w:hAnsi="Noto Sans"/>
          <w:sz w:val="28"/>
          <w:szCs w:val="28"/>
        </w:rPr>
      </w:r>
      <w:r>
        <w:br w:type="page"/>
      </w:r>
    </w:p>
    <w:p>
      <w:pPr>
        <w:pStyle w:val="Normal"/>
        <w:bidi w:val="0"/>
        <w:jc w:val="start"/>
        <w:rPr>
          <w:rFonts w:ascii="Noto Sans" w:hAnsi="Noto Sans"/>
          <w:sz w:val="36"/>
          <w:szCs w:val="36"/>
        </w:rPr>
      </w:pPr>
      <w:r>
        <w:rPr>
          <w:rStyle w:val="Strong"/>
          <w:rFonts w:ascii="Noto Sans" w:hAnsi="Noto Sans"/>
          <w:b/>
          <w:bCs/>
          <w:sz w:val="36"/>
          <w:szCs w:val="36"/>
        </w:rPr>
        <w:t>1</w:t>
      </w:r>
      <w:r>
        <w:rPr>
          <w:rFonts w:ascii="Noto Sans" w:hAnsi="Noto Sans"/>
          <w:b/>
          <w:bCs/>
          <w:sz w:val="36"/>
          <w:szCs w:val="36"/>
        </w:rPr>
        <w:t>a</w:t>
      </w:r>
      <w:r>
        <w:rPr>
          <w:rFonts w:ascii="Noto Sans" w:hAnsi="Noto Sans"/>
          <w:b/>
          <w:bCs/>
          <w:sz w:val="36"/>
          <w:szCs w:val="36"/>
        </w:rPr>
        <w:t>) Ten Sentences and Their Sentence Structures.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 xml:space="preserve">i) "I’m worrying that government are unable to manage sanitation by providing more convenient clean tools to protect the water." </w:t>
        <w:tab/>
        <w:t xml:space="preserve">– </w:t>
      </w:r>
      <w:r>
        <w:rPr>
          <w:rFonts w:ascii="Noto Sans" w:hAnsi="Noto Sans"/>
          <w:b/>
          <w:bCs/>
          <w:sz w:val="36"/>
          <w:szCs w:val="36"/>
        </w:rPr>
        <w:t>Complex.</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 "Stopping galamsey is not an option."</w:t>
        <w:tab/>
      </w:r>
      <w:r>
        <w:rPr>
          <w:rFonts w:ascii="Noto Sans" w:hAnsi="Noto Sans"/>
          <w:b/>
          <w:bCs/>
          <w:sz w:val="36"/>
          <w:szCs w:val="36"/>
        </w:rPr>
        <w:t>– Simple</w:t>
      </w:r>
      <w:r>
        <w:rPr>
          <w:rFonts w:ascii="Noto Sans" w:hAnsi="Noto Sans"/>
          <w:sz w:val="36"/>
          <w:szCs w:val="36"/>
        </w:rPr>
        <w: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 xml:space="preserve">iii) "It is gratifying that the President has spoken, attention, the intelligence or the silence on the matter." – </w:t>
      </w:r>
      <w:r>
        <w:rPr>
          <w:rFonts w:ascii="Noto Sans" w:hAnsi="Noto Sans"/>
          <w:b/>
          <w:bCs/>
          <w:sz w:val="36"/>
          <w:szCs w:val="36"/>
        </w:rPr>
        <w:t>Complex.</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 xml:space="preserve">iv)  "These investments mean apprentices can now benefit from industry-grade equipment, learn new skills and connect with companies before they even graduate." </w:t>
        <w:tab/>
      </w:r>
      <w:r>
        <w:rPr>
          <w:rFonts w:ascii="Noto Sans" w:hAnsi="Noto Sans"/>
          <w:b/>
          <w:bCs/>
          <w:sz w:val="36"/>
          <w:szCs w:val="36"/>
        </w:rPr>
        <w:t>– Complex.</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 xml:space="preserve">v) "TVET graduates are not job seekers alone; many are also entrepreneurs." </w:t>
        <w:tab/>
      </w:r>
      <w:r>
        <w:rPr>
          <w:rFonts w:ascii="Noto Sans" w:hAnsi="Noto Sans"/>
          <w:b/>
          <w:bCs/>
          <w:sz w:val="36"/>
          <w:szCs w:val="36"/>
        </w:rPr>
        <w:t>– Compound.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 "That fashion designer in Kumasi or auto-technician in Tamale is often an employer of five or more."</w:t>
      </w:r>
    </w:p>
    <w:p>
      <w:pPr>
        <w:pStyle w:val="Normal"/>
        <w:bidi w:val="0"/>
        <w:jc w:val="start"/>
        <w:rPr>
          <w:rFonts w:ascii="Noto Sans" w:hAnsi="Noto Sans"/>
          <w:sz w:val="36"/>
          <w:szCs w:val="36"/>
        </w:rPr>
      </w:pPr>
      <w:r>
        <w:rPr>
          <w:rFonts w:ascii="Noto Sans" w:hAnsi="Noto Sans"/>
          <w:b/>
          <w:bCs/>
          <w:sz w:val="36"/>
          <w:szCs w:val="36"/>
        </w:rPr>
        <w:t xml:space="preserve">– </w:t>
      </w:r>
      <w:r>
        <w:rPr>
          <w:rFonts w:ascii="Noto Sans" w:hAnsi="Noto Sans"/>
          <w:b/>
          <w:bCs/>
          <w:sz w:val="36"/>
          <w:szCs w:val="36"/>
        </w:rPr>
        <w:t>Simple.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 xml:space="preserve">vii) "But Ghana has its own advantage – a youthful, energetic population eager to learn." </w:t>
        <w:tab/>
        <w:tab/>
      </w:r>
      <w:r>
        <w:rPr>
          <w:rFonts w:ascii="Noto Sans" w:hAnsi="Noto Sans"/>
          <w:b/>
          <w:bCs/>
          <w:sz w:val="36"/>
          <w:szCs w:val="36"/>
        </w:rPr>
        <w:t>– Simple.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viii)</w:t>
        <w:tab/>
        <w:t>"If people like this were willing to develop new conditions for safety, it would be hard to find ways to achieve better results."</w:t>
        <w:tab/>
      </w:r>
      <w:r>
        <w:rPr>
          <w:rFonts w:ascii="Noto Sans" w:hAnsi="Noto Sans"/>
          <w:b/>
          <w:bCs/>
          <w:sz w:val="36"/>
          <w:szCs w:val="36"/>
        </w:rPr>
        <w:t>– Complex.</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ix)</w:t>
        <w:tab/>
        <w:t>"The son replied – 'Perfect! Because the carpenter who built our new warehouse came here in a Toyota Hilux – and you’re still driving your old type.'"</w:t>
      </w:r>
    </w:p>
    <w:p>
      <w:pPr>
        <w:pStyle w:val="Normal"/>
        <w:bidi w:val="0"/>
        <w:jc w:val="start"/>
        <w:rPr>
          <w:rFonts w:ascii="Noto Sans" w:hAnsi="Noto Sans"/>
          <w:b/>
          <w:bCs/>
          <w:sz w:val="36"/>
          <w:szCs w:val="36"/>
        </w:rPr>
      </w:pPr>
      <w:r>
        <w:rPr>
          <w:rFonts w:ascii="Noto Sans" w:hAnsi="Noto Sans"/>
          <w:b/>
          <w:bCs/>
          <w:sz w:val="36"/>
          <w:szCs w:val="36"/>
        </w:rPr>
        <w:t xml:space="preserve">– </w:t>
      </w:r>
      <w:r>
        <w:rPr>
          <w:rFonts w:ascii="Noto Sans" w:hAnsi="Noto Sans"/>
          <w:b/>
          <w:bCs/>
          <w:sz w:val="36"/>
          <w:szCs w:val="36"/>
        </w:rPr>
        <w:t>Compound-Complex.</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x)</w:t>
        <w:tab/>
        <w:t>"So, the next time the light goes out, remember it won’t be the philosopher or the lawyer who fixes it."</w:t>
      </w:r>
    </w:p>
    <w:p>
      <w:pPr>
        <w:pStyle w:val="Normal"/>
        <w:bidi w:val="0"/>
        <w:jc w:val="start"/>
        <w:rPr>
          <w:rFonts w:ascii="Noto Sans" w:hAnsi="Noto Sans"/>
          <w:b/>
          <w:bCs/>
          <w:sz w:val="36"/>
          <w:szCs w:val="36"/>
        </w:rPr>
      </w:pPr>
      <w:r>
        <w:rPr>
          <w:rFonts w:ascii="Noto Sans" w:hAnsi="Noto Sans"/>
          <w:b/>
          <w:bCs/>
          <w:sz w:val="36"/>
          <w:szCs w:val="36"/>
        </w:rPr>
        <w:t xml:space="preserve">– </w:t>
      </w:r>
      <w:r>
        <w:rPr>
          <w:rFonts w:ascii="Noto Sans" w:hAnsi="Noto Sans"/>
          <w:b/>
          <w:bCs/>
          <w:sz w:val="36"/>
          <w:szCs w:val="36"/>
        </w:rPr>
        <w:t>Complex.</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1b) Ten Sentences with Adverbs and Their Types.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 "It is not so easy for us to contact with homes…"</w:t>
      </w:r>
    </w:p>
    <w:p>
      <w:pPr>
        <w:pStyle w:val="Normal"/>
        <w:bidi w:val="0"/>
        <w:jc w:val="start"/>
        <w:rPr>
          <w:rFonts w:ascii="Noto Sans" w:hAnsi="Noto Sans"/>
          <w:b w:val="false"/>
          <w:bCs w:val="false"/>
          <w:sz w:val="36"/>
          <w:szCs w:val="36"/>
        </w:rPr>
      </w:pPr>
      <w:r>
        <w:rPr>
          <w:rFonts w:ascii="Noto Sans" w:hAnsi="Noto Sans"/>
          <w:b w:val="false"/>
          <w:bCs w:val="false"/>
          <w:sz w:val="36"/>
          <w:szCs w:val="36"/>
        </w:rPr>
      </w:r>
    </w:p>
    <w:p>
      <w:pPr>
        <w:pStyle w:val="Normal"/>
        <w:bidi w:val="0"/>
        <w:jc w:val="start"/>
        <w:rPr>
          <w:rFonts w:ascii="Noto Sans" w:hAnsi="Noto Sans"/>
          <w:b w:val="false"/>
          <w:bCs w:val="false"/>
          <w:sz w:val="36"/>
          <w:szCs w:val="36"/>
        </w:rPr>
      </w:pPr>
      <w:r>
        <w:rPr>
          <w:rFonts w:ascii="Noto Sans" w:hAnsi="Noto Sans"/>
          <w:b w:val="false"/>
          <w:bCs w:val="false"/>
          <w:sz w:val="36"/>
          <w:szCs w:val="36"/>
        </w:rPr>
        <w:t>Adverb: so.</w:t>
        <w:tab/>
        <w:tab/>
        <w:tab/>
        <w:t>Type: Adverb of Degree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 "We have also checked," was the "primary of sanitation..."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 xml:space="preserve">Adverb: also </w:t>
        <w:tab/>
        <w:tab/>
        <w:t>Type: Adverb of Frequency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iii)  "Our sanitation work must be covered tomorrow..."</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tomorrow</w:t>
        <w:tab/>
        <w:tab/>
        <w:t>Type: Adverb of Time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iv) "We will require some time to take up our primary health facilities."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up</w:t>
        <w:tab/>
        <w:tab/>
        <w:tab/>
        <w:t>Type: Adverb of Place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 "They are not sure what they need to do."</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not</w:t>
        <w:tab/>
        <w:tab/>
        <w:tab/>
        <w:t>Type: Adverb of Negation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 "We have gone beyond meeting to allocate solutions to stop pollution."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beyond</w:t>
        <w:tab/>
        <w:tab/>
        <w:t>Type: Adverb of Place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vii) "It is often more devastating than illegal use of food."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often</w:t>
        <w:tab/>
        <w:tab/>
        <w:t>Type: Adverb of Frequency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viii) "Throughout history, it is seen the function of these big clouds..."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Throughout</w:t>
        <w:tab/>
        <w:tab/>
        <w:tab/>
        <w:t>Type: Adverb of Time</w:t>
        <w:tab/>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ix) "The hills dams form a dense pool of mud and the rainforests are still being destroyed."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still</w:t>
        <w:tab/>
        <w:tab/>
        <w:t>Type: Adverb of Time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x) "Skilled workers can tap into international job markets, especially in construction, ICT and renewable energy."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Adverb: especially</w:t>
        <w:tab/>
        <w:tab/>
        <w:t>Type: Adverb of Manner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b/>
          <w:bCs/>
        </w:rPr>
      </w:pPr>
      <w:r>
        <w:rPr>
          <w:rFonts w:ascii="Noto Sans" w:hAnsi="Noto Sans"/>
          <w:sz w:val="36"/>
          <w:szCs w:val="36"/>
        </w:rPr>
      </w:r>
    </w:p>
    <w:p>
      <w:pPr>
        <w:pStyle w:val="Normal"/>
        <w:bidi w:val="0"/>
        <w:jc w:val="start"/>
        <w:rPr>
          <w:b/>
          <w:bCs/>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1c) Prepositional Phrases in the Sentences from 1b</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 "It is not so easy for us to contact with homes..."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with homes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 "We have also checked," was the "primary of sanitation..."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of sanitation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iii) "Our sanitation work must be covered tomorrow..."</w:t>
      </w:r>
    </w:p>
    <w:p>
      <w:pPr>
        <w:pStyle w:val="Normal"/>
        <w:bidi w:val="0"/>
        <w:jc w:val="start"/>
        <w:rPr>
          <w:rFonts w:ascii="Noto Sans" w:hAnsi="Noto Sans"/>
          <w:sz w:val="36"/>
          <w:szCs w:val="36"/>
        </w:rPr>
      </w:pPr>
      <w:r>
        <w:rPr>
          <w:rFonts w:ascii="Noto Sans" w:hAnsi="Noto Sans"/>
          <w:sz w:val="36"/>
          <w:szCs w:val="36"/>
        </w:rPr>
        <w:t>Prepositional Phrase: None in this clause.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iv) "We will require some time to take up our primary health facilities."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None in this clause.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 "They are not sure what they need to do."</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None.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 "We have gone beyond meeting to allocate solutions to stop pollution."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beyond meeting; to stop pollution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vii) "It is often more devastating than illegal use of food."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of food</w:t>
      </w:r>
    </w:p>
    <w:p>
      <w:pPr>
        <w:pStyle w:val="Normal"/>
        <w:bidi w:val="0"/>
        <w:jc w:val="start"/>
        <w:rPr>
          <w:rFonts w:ascii="Noto Sans" w:hAnsi="Noto Sans"/>
          <w:sz w:val="36"/>
          <w:szCs w:val="36"/>
        </w:rPr>
      </w:pPr>
      <w:r>
        <w:rPr>
          <w:rFonts w:ascii="Noto Sans" w:hAnsi="Noto Sans"/>
          <w:sz w:val="36"/>
          <w:szCs w:val="36"/>
        </w:rPr>
        <w:t>vii) "Throughout history, it is seen the function of these big clouds..."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Throughout history; of these big clouds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ix) "The hills dams form a dense pool of mud and the rainforests are still being destroyed."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of mud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x) "Skilled workers can tap into international job markets, especially in construction, ICT and renewable energy."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Prepositional Phrase: into international job markets; in construction, ICT and renewable energy.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r>
      <w:r>
        <w:br w:type="page"/>
      </w:r>
    </w:p>
    <w:p>
      <w:pPr>
        <w:pStyle w:val="Normal"/>
        <w:bidi w:val="0"/>
        <w:jc w:val="start"/>
        <w:rPr>
          <w:rFonts w:ascii="Noto Sans" w:hAnsi="Noto Sans"/>
          <w:b/>
          <w:bCs/>
          <w:sz w:val="36"/>
          <w:szCs w:val="36"/>
        </w:rPr>
      </w:pPr>
      <w:r>
        <w:rPr>
          <w:rFonts w:ascii="Noto Sans" w:hAnsi="Noto Sans"/>
          <w:b/>
          <w:bCs/>
          <w:sz w:val="36"/>
          <w:szCs w:val="36"/>
        </w:rPr>
        <w:t>1d) Identification and Analysis of Five Appositives.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 "Committees, Dr Mark Astleby-Reboth, presenting the committee’s report, observed..."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Appositive: Dr Mark Astleby-Reboth</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Analysis: This appositive renames or identifies the noun "Committees" (likely a typo for "Chairman" or a specific committee member).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 "But Ghana has its own advantage – a youthful, energetic population eager to learn."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Appositive: a youthful, energetic population eager to learn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Analysis: This noun phrase renames and elaborates on the noun "advantage."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iii) "Germany’s dual system (school + industry) (duale Berufsausbildung) is a unique educational model..."</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Appositive: duale Berufsausbildung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Analysis: This German term is placed in apposition to "dual system (school + industry)" to provide the original name.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iv) "Singapore’s proactive rebranding and South Korea’s high-tech TVET revolution are modern human learning efforts."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Appositive: an educational and online author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Analysis: This noun phrase renames the subject, "James Attiah Amissah," stating what he is.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 "Charles Harrison Amissah is Member of The Chartered Institute of Tax Law and Potential Accountants-Ghana (CTLIAG), and a member of the National Bureau of Health and Disability Policy (NIH)."</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Appositive: Member of The Chartered Institute of Tax Law and Potential Accountants-Ghana (CTLIAG)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Analysis: This long noun phrase is in apposition to the subject, "Charles Harrison Amissah," describing his professional designation. The acronyms (CTLIAG, NIH) also act as brief appositives to the full names.</w:t>
      </w:r>
      <w:r>
        <w:br w:type="page"/>
      </w:r>
    </w:p>
    <w:p>
      <w:pPr>
        <w:pStyle w:val="Normal"/>
        <w:bidi w:val="0"/>
        <w:jc w:val="start"/>
        <w:rPr>
          <w:rFonts w:ascii="Noto Sans" w:hAnsi="Noto Sans"/>
          <w:b/>
          <w:bCs/>
          <w:sz w:val="36"/>
          <w:szCs w:val="36"/>
        </w:rPr>
      </w:pPr>
      <w:r>
        <w:rPr>
          <w:rFonts w:ascii="Noto Sans" w:hAnsi="Noto Sans"/>
          <w:b/>
          <w:bCs/>
          <w:sz w:val="36"/>
          <w:szCs w:val="36"/>
        </w:rPr>
        <w:t>1e) Analysis of Two Paragraphs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Paragraph 1:</w:t>
      </w:r>
      <w:r>
        <w:rPr>
          <w:rFonts w:ascii="Noto Sans" w:hAnsi="Noto Sans"/>
          <w:sz w:val="36"/>
          <w:szCs w:val="36"/>
        </w:rPr>
        <w:t xml:space="preserve"> "Industrial Growth – With AfCFTA (African Continental Free Trade Area) headquarters in Accra, Ghana needs welders, lubricators and machine operators as much as it needs economists and lawyers. Global Demand – Skilled workers can tap into international job markets, especially in construction, ICT and renewable energy. Entrepreneurship – TVET graduates are not job seekers alone; many are also entrepreneurs. That fashion designer in Kumasi or auto-technician in Tamale is often an employer of five or more."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Paragraph 2:</w:t>
      </w:r>
      <w:r>
        <w:rPr>
          <w:rFonts w:ascii="Noto Sans" w:hAnsi="Noto Sans"/>
          <w:sz w:val="36"/>
          <w:szCs w:val="36"/>
        </w:rPr>
        <w:t xml:space="preserve"> "Perceptions: Some parents have trained their minds to steer their children from TVET institutions irrespective of their grades. However, other parents still say, 'If you don’t study hard, you’ll end up in TVET.'"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i. Topic Sentence in Each Paragraph</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 xml:space="preserve">Paragraph 1: </w:t>
      </w:r>
      <w:r>
        <w:rPr>
          <w:rFonts w:ascii="Noto Sans" w:hAnsi="Noto Sans"/>
          <w:sz w:val="36"/>
          <w:szCs w:val="36"/>
        </w:rPr>
        <w:t>"TVET graduates are not job seekers alone; many are also entrepreneurs."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Reasoning: This is the overarching point that the entire paragraph builds towards. The listed "Opportunities" (Industrial Growth, Global Demand) lead to this central idea about the entrepreneurial potential of TVET graduates.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Paragraph 2:</w:t>
      </w:r>
      <w:r>
        <w:rPr>
          <w:rFonts w:ascii="Noto Sans" w:hAnsi="Noto Sans"/>
          <w:sz w:val="36"/>
          <w:szCs w:val="36"/>
        </w:rPr>
        <w:t xml:space="preserve"> "Perceptions: Some parents have trained their minds to steer their children from TVET institutions irrespective of their grades."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Reasoning: This sentence directly states the main challenge (negative perceptions) that the paragraph discusses.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ii) Major Supporting Sentences in Each Paragraph</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Paragraph 1:</w:t>
      </w:r>
      <w:r>
        <w:rPr>
          <w:rFonts w:ascii="Noto Sans" w:hAnsi="Noto Sans"/>
          <w:sz w:val="36"/>
          <w:szCs w:val="36"/>
        </w:rPr>
        <w:t xml:space="preserve"> "Industrial Growth – With AfCFTA... Ghana needs welders, lubricators and machine operators as much as it needs economists and lawyers." (Supports the idea of high demand and value for skilled trades).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"Global Demand – Skilled workers can tap into international job markets..." (Supports the idea of diverse and global opportunities beyond local jobs).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"That fashion designer in Kumasi or auto-technician in Tamale is often an employer of five or more." (Provides a concrete, local example to support the topic sentence about entrepreneurship).</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Paragraph 2:</w:t>
      </w:r>
      <w:r>
        <w:rPr>
          <w:rFonts w:ascii="Noto Sans" w:hAnsi="Noto Sans"/>
          <w:sz w:val="36"/>
          <w:szCs w:val="36"/>
        </w:rPr>
        <w:t xml:space="preserve"> "However, other parents still say, 'If you don’t study hard, you’ll end up in TVET.'" (Provides a specific, common saying that exemplifies the negative perception mentioned in the topic sentence).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iii). Summary of the Two Paragraphs.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TVET offers strong job and entrepreneurial opportunities, but is still hindered by negative parental perceptions.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iv. Suitable Thesis for the Two Paragraphs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Despite persistent negative societal perceptions, Technical and Vocational Education and Training (TVET) presents a vital pathway to economic growth, global employment, and entrepreneurship for Ghana's youth.</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r>
        <w:br w:type="page"/>
      </w:r>
    </w:p>
    <w:p>
      <w:pPr>
        <w:pStyle w:val="Normal"/>
        <w:bidi w:val="0"/>
        <w:jc w:val="start"/>
        <w:rPr>
          <w:rFonts w:ascii="Noto Sans" w:hAnsi="Noto Sans"/>
          <w:b/>
          <w:bCs/>
          <w:sz w:val="36"/>
          <w:szCs w:val="36"/>
        </w:rPr>
      </w:pPr>
      <w:r>
        <w:rPr>
          <w:rFonts w:ascii="Noto Sans" w:hAnsi="Noto Sans"/>
          <w:b/>
          <w:bCs/>
          <w:sz w:val="36"/>
          <w:szCs w:val="36"/>
        </w:rPr>
        <w:t>2) Analysis of Ten Sentences from the Front Page.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The front page of the Daily Graphic for Monday, October 13, 2025, communicates critical national issues through a blend of headlines and article snippets. The sentences analyzed are primarily from the lead story, "GRA busts diesel diversion syndicate," and the prominent headlines. These sentences are crafted to immediately inform the public about significant events in governance, economy, and security, using a formal and authoritative tone typical of a major newspaper. The communication is direct and fact-based, aiming to establish credibility and convey urgency on matters of national interest.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a) Analysis of the Communication Process.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The communication process on this front page can be broken down as follows: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Sender:</w:t>
      </w:r>
      <w:r>
        <w:rPr>
          <w:rFonts w:ascii="Noto Sans" w:hAnsi="Noto Sans"/>
          <w:sz w:val="36"/>
          <w:szCs w:val="36"/>
        </w:rPr>
        <w:t xml:space="preserve"> The journalists and editors of the Daily Graphic newspaper.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Encoding:</w:t>
      </w:r>
      <w:r>
        <w:rPr>
          <w:rFonts w:ascii="Noto Sans" w:hAnsi="Noto Sans"/>
          <w:sz w:val="36"/>
          <w:szCs w:val="36"/>
        </w:rPr>
        <w:t xml:space="preserve"> The senders have translated the complex events (a customs bust, an IMF agreement, a tragic accident) into standardized news language—concise headlines, factual leads, and formal prose. This involves selecting specific vocabulary (e.g., "syndicate," "intelligence-led operation," "staff-level agreement") to frame the stories authoritatively.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Message:</w:t>
      </w:r>
      <w:r>
        <w:rPr>
          <w:rFonts w:ascii="Noto Sans" w:hAnsi="Noto Sans"/>
          <w:sz w:val="36"/>
          <w:szCs w:val="36"/>
        </w:rPr>
        <w:t xml:space="preserve"> The core messages are: 1) The government is actively combating economic crime, 2) Ghana is receiving international financial support, and 3) A major tragedy has occurred.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Channel:</w:t>
      </w:r>
      <w:r>
        <w:rPr>
          <w:rFonts w:ascii="Noto Sans" w:hAnsi="Noto Sans"/>
          <w:sz w:val="36"/>
          <w:szCs w:val="36"/>
        </w:rPr>
        <w:t xml:space="preserve"> The physical newspaper.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Receiver:</w:t>
      </w:r>
      <w:r>
        <w:rPr>
          <w:rFonts w:ascii="Noto Sans" w:hAnsi="Noto Sans"/>
          <w:sz w:val="36"/>
          <w:szCs w:val="36"/>
        </w:rPr>
        <w:t xml:space="preserve"> The Ghanaian public, including citizens, policymakers, business communities, and the diaspora.</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Decoding:</w:t>
      </w:r>
      <w:r>
        <w:rPr>
          <w:rFonts w:ascii="Noto Sans" w:hAnsi="Noto Sans"/>
          <w:sz w:val="36"/>
          <w:szCs w:val="36"/>
        </w:rPr>
        <w:t xml:space="preserve"> Readers interpret the messages based on their own knowledge and context. A citizen might decode the GRA story as a positive government action, while a business owner might see it as a sign of market instability.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Feedback:</w:t>
      </w:r>
      <w:r>
        <w:rPr>
          <w:rFonts w:ascii="Noto Sans" w:hAnsi="Noto Sans"/>
          <w:sz w:val="36"/>
          <w:szCs w:val="36"/>
        </w:rPr>
        <w:t xml:space="preserve"> This would occur through letters to the editor, social media comments, public discourse, and changes in public perception or policy following the publication.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Noise:</w:t>
      </w:r>
      <w:r>
        <w:rPr>
          <w:rFonts w:ascii="Noto Sans" w:hAnsi="Noto Sans"/>
          <w:sz w:val="36"/>
          <w:szCs w:val="36"/>
        </w:rPr>
        <w:t xml:space="preserve"> Potential "noise" includes the reader's pre-existing opinions about the GRA or IMF, the distraction of multiple stories on one page, or misinterpretation of technical terms like "staff-level agreement."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b) Elements of the Rhetorical Situation.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The rhetorical situation—the context that motivates and shapes the communication—is defined by several key elements: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Exigence (The Urgency):</w:t>
      </w:r>
      <w:r>
        <w:rPr>
          <w:rFonts w:ascii="Noto Sans" w:hAnsi="Noto Sans"/>
          <w:sz w:val="36"/>
          <w:szCs w:val="36"/>
        </w:rPr>
        <w:t xml:space="preserve"> The need to inform the public about critical developments affecting the nation's economy (diesel diversion, IMF support), security (the syndicate), and social well-being (the lake disaster). The newspaper acts on the exigence of keeping the citizenry informed.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Audience:</w:t>
      </w:r>
      <w:r>
        <w:rPr>
          <w:rFonts w:ascii="Noto Sans" w:hAnsi="Noto Sans"/>
          <w:sz w:val="36"/>
          <w:szCs w:val="36"/>
        </w:rPr>
        <w:t xml:space="preserve"> The primary audience is the Ghanaian public. The choice of words assumes a reader who is familiar with national institutions (GRA, National Security, IMF) and has a concern for the country's economic and social stability.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Purpose:</w:t>
      </w:r>
      <w:r>
        <w:rPr>
          <w:rFonts w:ascii="Noto Sans" w:hAnsi="Noto Sans"/>
          <w:sz w:val="36"/>
          <w:szCs w:val="36"/>
        </w:rPr>
        <w:t xml:space="preserve"> The primary purpose is to inform. Secondary purposes include: to persuade the public of the government's effectiveness (in the GRA story), to reassure about the economy (IMF story), and to warn about dangers (cybersecurity banner).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Constraints &amp; Context:</w:t>
      </w:r>
      <w:r>
        <w:rPr>
          <w:rFonts w:ascii="Noto Sans" w:hAnsi="Noto Sans"/>
          <w:sz w:val="36"/>
          <w:szCs w:val="36"/>
        </w:rPr>
        <w:t xml:space="preserve"> The writers operate within the constraints of journalistic objectivity, space limitations on the front page, and libel laws. The socio-political context of Ghana dealing with economic challenges and revenue leakage heavily influences the tone and prominence given to the GRA and IMF stories. The word choices ("syndicate," "busts," "evade") are designed to frame the issue as a clear battle between law enforcement and criminal elements, aligning with the government's perspective.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c) Sentences and Nonverbal Communication.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Here are ten sentences with the types of nonverbal communication used to convey their message: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 "GRA busts diesel diversion syndicate"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Typography (Font Size &amp; Weight). The large, bold font acts as a visual shout, conveying importance and urgency.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 "Ghana secures €154m agric support from Italy"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Placement. Its position at the top-left (a primary focal point) nonverbally communicates that this is the lead story of high significance and positive news.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r>
        <w:br w:type="page"/>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iii) "15 Perish in Volta Lake disaster"</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Numerals. The use of the number "15" instead of writing "fifteen" creates a stark, immediate, and shocking visual impact, emphasizing the tragedy's scale.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iv) "One wrong Click Can Crash Everything"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Color and Layout. The bold red color and the banner format separate it from the news stories, nonverbally coding it as a urgent public service announcement or warning.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 "The customs preventive Unit of the Ghana Revenue Authority (GRA) has busted a syndicate that diverts diesel to evade customs taxes."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Jargon/Titles. The use of formal titles ("customs preventive Unit," "Ghana Revenue Authority") nonverbally communicates officialdom, authority, and credibility.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r>
        <w:br w:type="page"/>
      </w:r>
    </w:p>
    <w:p>
      <w:pPr>
        <w:pStyle w:val="Normal"/>
        <w:bidi w:val="0"/>
        <w:jc w:val="start"/>
        <w:rPr>
          <w:rFonts w:ascii="Noto Sans" w:hAnsi="Noto Sans"/>
          <w:sz w:val="36"/>
          <w:szCs w:val="36"/>
        </w:rPr>
      </w:pPr>
      <w:r>
        <w:rPr>
          <w:rFonts w:ascii="Noto Sans" w:hAnsi="Noto Sans"/>
          <w:sz w:val="36"/>
          <w:szCs w:val="36"/>
        </w:rPr>
        <w:t>vi) "The intelligence-led operation conducted in collaboration with the National Security resulted in the interception..."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Adjectives. The phrase "intelligence-led" nonverbally communicates sophistication, competence, and a strategic, non-arbitrary action by the authorities.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vii)  "...10 trucks loaded with automotive gas oil (AGO), commonly known as diesel, estimated at 40,000 liters."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Statistics. The specific numbers ("10 trucks," "40,000 liters") provide tangible, quantifiable evidence that nonverbally reinforces the scale and seriousness of the bust.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viii) "• Anthony Kwasi Sarpong — Commissioner-General, GRA"</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Photograph. The bullet point leading to a photograph (implied by the caption) nonverbally personalizes the story and adds a layer of accountability and human authority to the text.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ix) "• Continued on page 03"</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Symbol (Arrow). The arrow symbol (•) and the instruction nonverbally guide the reader through the physical layout of the newspaper, managing the flow of information.</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x) "Price: GH¢8.00"</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Nonverbal Communication: Numerals &amp; Placement. The listed price, typically in the nameplate, nonverbally communicates the commercial value of the product and establishes a formal transaction context.</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d) Critique of the Communication Process.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t>The communication process is effective in its core function of alerting the public to major events. However, there are potential flaws in both its encoding and decoding strategies:</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Flaws in Encoding: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i) Assumed Knowledge:</w:t>
      </w:r>
      <w:r>
        <w:rPr>
          <w:rFonts w:ascii="Noto Sans" w:hAnsi="Noto Sans"/>
          <w:sz w:val="36"/>
          <w:szCs w:val="36"/>
        </w:rPr>
        <w:t xml:space="preserve"> The encoding assumes a relatively high level of public familiarity with acronyms (GRA, IMF, AGO, OMCs) and concepts like "staff-level agreement." This can create a barrier for less-informed readers, leading to incomplete decoding or misunderstanding.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ii) Lack of Nuance:</w:t>
      </w:r>
      <w:r>
        <w:rPr>
          <w:rFonts w:ascii="Noto Sans" w:hAnsi="Noto Sans"/>
          <w:sz w:val="36"/>
          <w:szCs w:val="36"/>
        </w:rPr>
        <w:t xml:space="preserve"> The lead story's language ("busted a syndicate") is triumphalist and frames a complex issue of fuel diversion and tax evasion in a simplistic, good-vs-evil narrative. This encoding strategy may omit underlying economic or systemic causes, potentially serving a governmental PR function rather than a purely informative one.</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iii) Sensory Overload:</w:t>
      </w:r>
      <w:r>
        <w:rPr>
          <w:rFonts w:ascii="Noto Sans" w:hAnsi="Noto Sans"/>
          <w:sz w:val="36"/>
          <w:szCs w:val="36"/>
        </w:rPr>
        <w:t xml:space="preserve"> The front page crams multiple high-impact stories (financial support, tragedy, crime bust) and an advertisement into a small space. This "noise" can hinder the reader's ability to decode any single message deeply.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b/>
          <w:bCs/>
          <w:sz w:val="36"/>
          <w:szCs w:val="36"/>
        </w:rPr>
      </w:pPr>
      <w:r>
        <w:rPr>
          <w:rFonts w:ascii="Noto Sans" w:hAnsi="Noto Sans"/>
          <w:b/>
          <w:bCs/>
          <w:sz w:val="36"/>
          <w:szCs w:val="36"/>
        </w:rPr>
        <w:t>Flaws in Decoding:</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i) Skeptical Interpretation:</w:t>
      </w:r>
      <w:r>
        <w:rPr>
          <w:rFonts w:ascii="Noto Sans" w:hAnsi="Noto Sans"/>
          <w:sz w:val="36"/>
          <w:szCs w:val="36"/>
        </w:rPr>
        <w:t xml:space="preserve"> Given public skepticism towards state institutions in many countries, a reader might decode the GRA story not as a success, but as an admission of a long-standing, widespread problem that is only now being minimally addressed.</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ii) Negative Connotations:</w:t>
      </w:r>
      <w:r>
        <w:rPr>
          <w:rFonts w:ascii="Noto Sans" w:hAnsi="Noto Sans"/>
          <w:sz w:val="36"/>
          <w:szCs w:val="36"/>
        </w:rPr>
        <w:t xml:space="preserve"> The recurring mention of IMF support might be decoded by some audiences not as a positive development, but as a reminder of economic dependency and the potential for austerity measures, which could evoke anxiety.</w:t>
      </w:r>
    </w:p>
    <w:p>
      <w:pPr>
        <w:pStyle w:val="Normal"/>
        <w:bidi w:val="0"/>
        <w:jc w:val="start"/>
        <w:rPr>
          <w:rFonts w:ascii="Noto Sans" w:hAnsi="Noto Sans"/>
          <w:sz w:val="36"/>
          <w:szCs w:val="36"/>
        </w:rPr>
      </w:pPr>
      <w:r>
        <w:rPr>
          <w:rFonts w:ascii="Noto Sans" w:hAnsi="Noto Sans"/>
          <w:sz w:val="36"/>
          <w:szCs w:val="36"/>
        </w:rPr>
      </w:r>
    </w:p>
    <w:p>
      <w:pPr>
        <w:pStyle w:val="Normal"/>
        <w:bidi w:val="0"/>
        <w:jc w:val="start"/>
        <w:rPr>
          <w:rFonts w:ascii="Noto Sans" w:hAnsi="Noto Sans"/>
          <w:sz w:val="36"/>
          <w:szCs w:val="36"/>
        </w:rPr>
      </w:pPr>
      <w:r>
        <w:rPr>
          <w:rFonts w:ascii="Noto Sans" w:hAnsi="Noto Sans"/>
          <w:b/>
          <w:bCs/>
          <w:sz w:val="36"/>
          <w:szCs w:val="36"/>
        </w:rPr>
        <w:t>iii) Message Dissonance:</w:t>
      </w:r>
      <w:r>
        <w:rPr>
          <w:rFonts w:ascii="Noto Sans" w:hAnsi="Noto Sans"/>
          <w:sz w:val="36"/>
          <w:szCs w:val="36"/>
        </w:rPr>
        <w:t xml:space="preserve"> The juxtaposition of the serious news stories with the brightly colored, simplistic cybersecurity banner ("Be Smart...") could lead to the latter being decoded as trivial or out of place, reducing its intended effectiveness.</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roman"/>
    <w:pitch w:val="variable"/>
  </w:font>
  <w:font w:name="Noto Sans">
    <w:charset w:val="01"/>
    <w:family w:val="swiss"/>
    <w:pitch w:val="variable"/>
  </w:font>
  <w:font w:name="Noto Sans">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111</TotalTime>
  <Application>LibreOffice/7.6.2.1$Windows_X86_64 LibreOffice_project/56f7684011345957bbf33a7ee678afaf4d2ba333</Application>
  <AppVersion>15.0000</AppVersion>
  <Pages>21</Pages>
  <Words>2352</Words>
  <Characters>13713</Characters>
  <CharactersWithSpaces>15954</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2025-04-18T02:05:45Z</dcterms:created>
  <dc:creator/>
  <dc:description/>
  <dc:language>en-US</dc:language>
  <cp:lastModifiedBy/>
  <cp:lastPrinted>2025-04-18T02:24:24Z</cp:lastPrinted>
  <dcterms:modified xsi:type="dcterms:W3CDTF">2025-10-28T06:34:36Z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