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E3A5F"/>
          <w:sz w:val="52"/>
          <w:szCs w:val="52"/>
        </w:rPr>
        <w:t xml:space="preserve">SYSTEM DESIGN DOCUMENT</w:t>
      </w:r>
    </w:p>
    <w:p>
      <w:pPr>
        <w:pBdr>
          <w:bottom w:val="single" w:color="2E75B6" w:sz="8" w:space="8"/>
        </w:pBdr>
        <w:spacing w:after="200" w:before="0"/>
        <w:jc w:val="center"/>
      </w:pPr>
      <w:r>
        <w:rPr>
          <w:rFonts w:ascii="Arial" w:cs="Arial" w:eastAsia="Arial" w:hAnsi="Arial"/>
          <w:color w:val="2E75B6"/>
          <w:sz w:val="36"/>
          <w:szCs w:val="36"/>
        </w:rPr>
        <w:t xml:space="preserve">Modular Multi-Tenant SaaS Dashboard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Document 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Prepared By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Architect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30,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Technology Stack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TypeScript, PostgreSQL, Prisma, Tailwind CSS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Target 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(Desktop &amp; Mobile)</w:t>
            </w:r>
          </w:p>
        </w:tc>
      </w:tr>
    </w:tbl>
    <w:p>
      <w:pPr>
        <w:spacing w:after="0" w:before="400"/>
      </w:pPr>
      <w:r>
        <w:t xml:space="preserve"/>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 Introduction</w:t>
      </w:r>
    </w:p>
    <w:p>
      <w:pPr>
        <w:pStyle w:val="Heading2"/>
        <w:spacing w:after="120" w:before="280"/>
      </w:pPr>
      <w:r>
        <w:rPr>
          <w:rFonts w:ascii="Arial" w:cs="Arial" w:eastAsia="Arial" w:hAnsi="Arial"/>
          <w:b/>
          <w:bCs/>
          <w:color w:val="2E75B6"/>
          <w:sz w:val="26"/>
          <w:szCs w:val="26"/>
        </w:rPr>
        <w:t xml:space="preserve">1.1 Purpose</w:t>
      </w:r>
    </w:p>
    <w:p>
      <w:pPr>
        <w:spacing w:after="100" w:before="80"/>
      </w:pPr>
      <w:r>
        <w:rPr>
          <w:rFonts w:ascii="Arial" w:cs="Arial" w:eastAsia="Arial" w:hAnsi="Arial"/>
          <w:color w:val="333333"/>
          <w:sz w:val="22"/>
          <w:szCs w:val="22"/>
        </w:rPr>
        <w:t xml:space="preserve">This document describes the system design for a Modular Multi-Tenant SaaS Dashboard — a configurable business management platform that allows different businesses (tenants) to activate only the modules they need. The system is designed to be extensible, secure, and maintainable with zero code changes required when enabling or disabling modules per tenant.</w:t>
      </w:r>
    </w:p>
    <w:p>
      <w:pPr>
        <w:pStyle w:val="Heading2"/>
        <w:spacing w:after="120" w:before="280"/>
      </w:pPr>
      <w:r>
        <w:rPr>
          <w:rFonts w:ascii="Arial" w:cs="Arial" w:eastAsia="Arial" w:hAnsi="Arial"/>
          <w:b/>
          <w:bCs/>
          <w:color w:val="2E75B6"/>
          <w:sz w:val="26"/>
          <w:szCs w:val="26"/>
        </w:rPr>
        <w:t xml:space="preserve">1.2 Scope</w:t>
      </w:r>
    </w:p>
    <w:p>
      <w:pPr>
        <w:spacing w:after="100" w:before="80"/>
      </w:pPr>
      <w:r>
        <w:rPr>
          <w:rFonts w:ascii="Arial" w:cs="Arial" w:eastAsia="Arial" w:hAnsi="Arial"/>
          <w:color w:val="333333"/>
          <w:sz w:val="22"/>
          <w:szCs w:val="22"/>
        </w:rPr>
        <w:t xml:space="preserve">The platform consists of two independent Next.js applications sharing a single PostgreSQL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Super Admin App — internal tool for managing tenants and toggling modules</w:t>
      </w:r>
    </w:p>
    <w:p>
      <w:pPr>
        <w:pStyle w:val="ListParagraph"/>
        <w:numPr>
          <w:ilvl w:val="0"/>
          <w:numId w:val="2"/>
        </w:numPr>
        <w:spacing w:after="40" w:before="40"/>
      </w:pPr>
      <w:r>
        <w:rPr>
          <w:rFonts w:ascii="Arial" w:cs="Arial" w:eastAsia="Arial" w:hAnsi="Arial"/>
          <w:b w:val="false"/>
          <w:bCs w:val="false"/>
          <w:color w:val="333333"/>
          <w:sz w:val="22"/>
          <w:szCs w:val="22"/>
        </w:rPr>
        <w:t xml:space="preserve">Tenant App — the product that business clients use day-to-day</w:t>
      </w:r>
    </w:p>
    <w:p>
      <w:pPr>
        <w:spacing w:after="0" w:before="80"/>
      </w:pPr>
      <w:r>
        <w:t xml:space="preserve"/>
      </w:r>
    </w:p>
    <w:p>
      <w:pPr>
        <w:spacing w:after="100" w:before="80"/>
      </w:pPr>
      <w:r>
        <w:rPr>
          <w:rFonts w:ascii="Arial" w:cs="Arial" w:eastAsia="Arial" w:hAnsi="Arial"/>
          <w:color w:val="333333"/>
          <w:sz w:val="22"/>
          <w:szCs w:val="22"/>
        </w:rPr>
        <w:t xml:space="preserve">The system supports any number of tenants, each with their own set of activated modules, users, and data — all isolated at the application layer via tenant-scoped queries.</w:t>
      </w:r>
    </w:p>
    <w:p>
      <w:pPr>
        <w:pStyle w:val="Heading2"/>
        <w:spacing w:after="120" w:before="280"/>
      </w:pPr>
      <w:r>
        <w:rPr>
          <w:rFonts w:ascii="Arial" w:cs="Arial" w:eastAsia="Arial" w:hAnsi="Arial"/>
          <w:b/>
          <w:bCs/>
          <w:color w:val="2E75B6"/>
          <w:sz w:val="26"/>
          <w:szCs w:val="26"/>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business or organization using the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self-contained feature set that can be activated per tenant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 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platform owner who manages tenants and module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 Registry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service that resolves which modules are active for a tenant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 App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client-facing Next.js application used by businesses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Super Admin App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internal Next.js application for platform management</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2. System Overview</w:t>
      </w:r>
    </w:p>
    <w:p>
      <w:pPr>
        <w:pStyle w:val="Heading2"/>
        <w:spacing w:after="120" w:before="280"/>
      </w:pPr>
      <w:r>
        <w:rPr>
          <w:rFonts w:ascii="Arial" w:cs="Arial" w:eastAsia="Arial" w:hAnsi="Arial"/>
          <w:b/>
          <w:bCs/>
          <w:color w:val="2E75B6"/>
          <w:sz w:val="26"/>
          <w:szCs w:val="26"/>
        </w:rPr>
        <w:t xml:space="preserve">2.1 Architecture Overview</w:t>
      </w:r>
    </w:p>
    <w:p>
      <w:pPr>
        <w:spacing w:after="100" w:before="80"/>
      </w:pPr>
      <w:r>
        <w:rPr>
          <w:rFonts w:ascii="Arial" w:cs="Arial" w:eastAsia="Arial" w:hAnsi="Arial"/>
          <w:color w:val="333333"/>
          <w:sz w:val="22"/>
          <w:szCs w:val="22"/>
        </w:rPr>
        <w:t xml:space="preserve">The platform follows a modular multi-tenant architecture where all tenant data coexists in a single PostgreSQL database, separated by a tenantId column on every table. Module activation is data-driven — enabling a module for a tenant is a database write operation with no code deployment required.</w:t>
      </w:r>
    </w:p>
    <w:p>
      <w:pPr>
        <w:spacing w:after="0" w:before="80"/>
      </w:pPr>
      <w:r>
        <w:t xml:space="preserve"/>
      </w:r>
    </w:p>
    <w:p>
      <w:pPr>
        <w:spacing w:after="100" w:before="80"/>
      </w:pPr>
      <w:r>
        <w:rPr>
          <w:rFonts w:ascii="Arial" w:cs="Arial" w:eastAsia="Arial" w:hAnsi="Arial"/>
          <w:color w:val="333333"/>
          <w:sz w:val="22"/>
          <w:szCs w:val="22"/>
        </w:rPr>
        <w:t xml:space="preserve">The two applications communicate exclusively through the shared database. There is no direct API dependency between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Super Admin App</w:t>
            </w:r>
          </w:p>
          <w:p>
            <w:pPr>
              <w:spacing w:before="60"/>
              <w:jc w:val="center"/>
            </w:pPr>
            <w:r>
              <w:rPr>
                <w:rFonts w:ascii="Arial" w:cs="Arial" w:eastAsia="Arial" w:hAnsi="Arial"/>
                <w:color w:val="555555"/>
                <w:sz w:val="18"/>
                <w:szCs w:val="18"/>
              </w:rPr>
              <w:t xml:space="preserve">admin.yourdomain.com</w:t>
            </w:r>
          </w:p>
          <w:p>
            <w:pPr>
              <w:spacing w:before="100"/>
            </w:pPr>
            <w:r>
              <w:rPr>
                <w:rFonts w:ascii="Arial" w:cs="Arial" w:eastAsia="Arial" w:hAnsi="Arial"/>
                <w:color w:val="333333"/>
                <w:sz w:val="20"/>
                <w:szCs w:val="20"/>
              </w:rPr>
              <w:t xml:space="preserve">  • Manage tenants</w:t>
            </w:r>
          </w:p>
          <w:p>
            <w:r>
              <w:rPr>
                <w:rFonts w:ascii="Arial" w:cs="Arial" w:eastAsia="Arial" w:hAnsi="Arial"/>
                <w:color w:val="333333"/>
                <w:sz w:val="20"/>
                <w:szCs w:val="20"/>
              </w:rPr>
              <w:t xml:space="preserve">  • Toggle modules per tenant</w:t>
            </w:r>
          </w:p>
          <w:p>
            <w:r>
              <w:rPr>
                <w:rFonts w:ascii="Arial" w:cs="Arial" w:eastAsia="Arial" w:hAnsi="Arial"/>
                <w:color w:val="333333"/>
                <w:sz w:val="20"/>
                <w:szCs w:val="20"/>
              </w:rPr>
              <w:t xml:space="preserve">  • Platform-wide settings</w:t>
            </w:r>
          </w:p>
        </w:tc>
        <w:tc>
          <w:tcPr>
            <w:tcW w:type="dxa" w:w="360"/>
            <w:tcBorders>
              <w:top w:val="none" w:color="FFFFFF" w:sz="0"/>
              <w:left w:val="none" w:color="FFFFFF" w:sz="0"/>
              <w:bottom w:val="none" w:color="FFFFFF" w:sz="0"/>
              <w:right w:val="none" w:color="FFFFFF" w:sz="0"/>
            </w:tcBorders>
            <w:tcMar>
              <w:top w:type="dxa" w:w="120"/>
              <w:left w:type="dxa" w:w="80"/>
              <w:bottom w:type="dxa" w:w="120"/>
              <w:right w:type="dxa" w:w="80"/>
            </w:tcMar>
          </w:tcPr>
          <w:p>
            <w:pPr>
              <w:spacing w:before="200"/>
              <w:jc w:val="center"/>
            </w:pPr>
            <w:r>
              <w:rPr>
                <w:rFonts w:ascii="Arial" w:cs="Arial" w:eastAsia="Arial" w:hAnsi="Arial"/>
                <w:b/>
                <w:bCs/>
                <w:color w:val="2E75B6"/>
                <w:sz w:val="28"/>
                <w:szCs w:val="28"/>
              </w:rPr>
              <w:t xml:space="preserve">↔</w:t>
            </w:r>
          </w:p>
        </w:tc>
        <w:tc>
          <w:tcPr>
            <w:tcW w:type="dxa" w:w="450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Shared PostgreSQL Database</w:t>
            </w:r>
          </w:p>
          <w:p>
            <w:pPr>
              <w:spacing w:before="60"/>
              <w:jc w:val="center"/>
            </w:pPr>
            <w:r>
              <w:rPr>
                <w:rFonts w:ascii="Arial" w:cs="Arial" w:eastAsia="Arial" w:hAnsi="Arial"/>
                <w:color w:val="555555"/>
                <w:sz w:val="18"/>
                <w:szCs w:val="18"/>
              </w:rPr>
              <w:t xml:space="preserve">Neon (Serverless Postgres)</w:t>
            </w:r>
          </w:p>
          <w:p>
            <w:pPr>
              <w:spacing w:before="100"/>
            </w:pPr>
            <w:r>
              <w:rPr>
                <w:rFonts w:ascii="Arial" w:cs="Arial" w:eastAsia="Arial" w:hAnsi="Arial"/>
                <w:color w:val="333333"/>
                <w:sz w:val="20"/>
                <w:szCs w:val="20"/>
              </w:rPr>
              <w:t xml:space="preserve">  • Tenant, Module, TenantModule</w:t>
            </w:r>
          </w:p>
          <w:p>
            <w:r>
              <w:rPr>
                <w:rFonts w:ascii="Arial" w:cs="Arial" w:eastAsia="Arial" w:hAnsi="Arial"/>
                <w:color w:val="333333"/>
                <w:sz w:val="20"/>
                <w:szCs w:val="20"/>
              </w:rPr>
              <w:t xml:space="preserve">  • All tenant data (row-level)</w:t>
            </w:r>
          </w:p>
          <w:p>
            <w:r>
              <w:rPr>
                <w:rFonts w:ascii="Arial" w:cs="Arial" w:eastAsia="Arial" w:hAnsi="Arial"/>
                <w:color w:val="333333"/>
                <w:sz w:val="20"/>
                <w:szCs w:val="20"/>
              </w:rPr>
              <w:t xml:space="preserve">  • Shared Prisma schema</w:t>
            </w:r>
          </w:p>
        </w:tc>
      </w:tr>
      <w:tr>
        <w:tc>
          <w:tcPr>
            <w:tcW w:type="dxa" w:w="450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Arial" w:cs="Arial" w:eastAsia="Arial" w:hAnsi="Arial"/>
                <w:b/>
                <w:bCs/>
                <w:color w:val="2E75B6"/>
                <w:sz w:val="28"/>
                <w:szCs w:val="28"/>
              </w:rPr>
              <w:t xml:space="preserv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r>
              <w:t xml:space="preserve"/>
            </w:r>
          </w:p>
        </w:tc>
      </w:tr>
      <w:tr>
        <w:tc>
          <w:tcPr>
            <w:tcW w:type="dxa" w:w="45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jc w:val="center"/>
            </w:pPr>
            <w:r>
              <w:rPr>
                <w:rFonts w:ascii="Arial" w:cs="Arial" w:eastAsia="Arial" w:hAnsi="Arial"/>
                <w:b/>
                <w:bCs/>
                <w:color w:val="1B5E20"/>
                <w:sz w:val="22"/>
                <w:szCs w:val="22"/>
              </w:rPr>
              <w:t xml:space="preserve">Tenant App</w:t>
            </w:r>
          </w:p>
          <w:p>
            <w:pPr>
              <w:spacing w:before="60"/>
              <w:jc w:val="center"/>
            </w:pPr>
            <w:r>
              <w:rPr>
                <w:rFonts w:ascii="Arial" w:cs="Arial" w:eastAsia="Arial" w:hAnsi="Arial"/>
                <w:color w:val="555555"/>
                <w:sz w:val="18"/>
                <w:szCs w:val="18"/>
              </w:rPr>
              <w:t xml:space="preserve">app.yourdomain.com/[tenant]</w:t>
            </w:r>
          </w:p>
          <w:p>
            <w:pPr>
              <w:spacing w:before="100"/>
            </w:pPr>
            <w:r>
              <w:rPr>
                <w:rFonts w:ascii="Arial" w:cs="Arial" w:eastAsia="Arial" w:hAnsi="Arial"/>
                <w:color w:val="333333"/>
                <w:sz w:val="20"/>
                <w:szCs w:val="20"/>
              </w:rPr>
              <w:t xml:space="preserve">  • Tenant-facing dashboard</w:t>
            </w:r>
          </w:p>
          <w:p>
            <w:r>
              <w:rPr>
                <w:rFonts w:ascii="Arial" w:cs="Arial" w:eastAsia="Arial" w:hAnsi="Arial"/>
                <w:color w:val="333333"/>
                <w:sz w:val="20"/>
                <w:szCs w:val="20"/>
              </w:rPr>
              <w:t xml:space="preserve">  • Renders active modules only</w:t>
            </w:r>
          </w:p>
          <w:p>
            <w:r>
              <w:rPr>
                <w:rFonts w:ascii="Arial" w:cs="Arial" w:eastAsia="Arial" w:hAnsi="Arial"/>
                <w:color w:val="333333"/>
                <w:sz w:val="20"/>
                <w:szCs w:val="20"/>
              </w:rPr>
              <w:t xml:space="preserve">  • Enforces access via middleware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2.2 Multi-Tenancy Strategy</w:t>
      </w:r>
    </w:p>
    <w:p>
      <w:pPr>
        <w:spacing w:after="100" w:before="80"/>
      </w:pPr>
      <w:r>
        <w:rPr>
          <w:rFonts w:ascii="Arial" w:cs="Arial" w:eastAsia="Arial" w:hAnsi="Arial"/>
          <w:color w:val="333333"/>
          <w:sz w:val="22"/>
          <w:szCs w:val="22"/>
        </w:rPr>
        <w:t xml:space="preserve">The platform uses a shared database, shared tables approach — the simplest and most scalable strategy for early-to-mid stage SaaS. Every tenant's data coexists in the same tables, distinguished by a tenantId column. All queries are scoped to the current tenant at the application layer via Prisma.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Approach</w:t>
            </w:r>
          </w:p>
        </w:tc>
        <w:tc>
          <w:tcPr>
            <w:tcW w:type="dxa" w:w="2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Isolation</w:t>
            </w:r>
          </w:p>
        </w:tc>
        <w:tc>
          <w:tcPr>
            <w:tcW w:type="dxa" w:w="2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Complexity</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Recommended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DB, Shared Tables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Row-level (tenantId)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to mid-scale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DB, Separate Schemas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Schema-level</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Mid-scale w/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Separate DB per Tenant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isolation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 regulated</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Full-stack React framework for both apps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 safety across the entire codebase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Utility-first CSS framework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Accessible, customizable component library built on Tailwind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NextAuth.js (Auth.js v5)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management, JWT, credentials-based auth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Prisma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Type-safe database client with migration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on Neon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Serverless PostgreSQL with branching for dev/staging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Server State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TanStack Query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Client-side caching and data fetching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Hook Form + Zod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 state management and schema validation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TanStack Table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Headless table with sorting, filtering, pagination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 / Tremor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visualization for dashboards and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Sonner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Toast notification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date-fns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manipulation and formatting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Transactional email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Uploads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upload abstraction for Next.js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Quality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ESLint, Prettier, Husky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Linting, formatting, pre-commit hooks</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4. Project Structure</w:t>
      </w:r>
    </w:p>
    <w:p>
      <w:pPr>
        <w:pStyle w:val="Heading2"/>
        <w:spacing w:after="120" w:before="280"/>
      </w:pPr>
      <w:r>
        <w:rPr>
          <w:rFonts w:ascii="Arial" w:cs="Arial" w:eastAsia="Arial" w:hAnsi="Arial"/>
          <w:b/>
          <w:bCs/>
          <w:color w:val="2E75B6"/>
          <w:sz w:val="26"/>
          <w:szCs w:val="26"/>
        </w:rPr>
        <w:t xml:space="preserve">4.1 Repository Layout</w:t>
      </w:r>
    </w:p>
    <w:p>
      <w:pPr>
        <w:spacing w:after="100" w:before="80"/>
      </w:pPr>
      <w:r>
        <w:rPr>
          <w:rFonts w:ascii="Arial" w:cs="Arial" w:eastAsia="Arial" w:hAnsi="Arial"/>
          <w:color w:val="333333"/>
          <w:sz w:val="22"/>
          <w:szCs w:val="22"/>
        </w:rPr>
        <w:t xml:space="preserve">The system is organized as two independent Next.js projects. A monorepo setup (e.g. Turborepo) is recommended as an optimization once the codebase matures, primarily to share the Prisma schema as a package.</w:t>
      </w:r>
    </w:p>
    <w:p>
      <w:pPr>
        <w:pStyle w:val="Heading2"/>
        <w:spacing w:after="120" w:before="280"/>
      </w:pPr>
      <w:r>
        <w:rPr>
          <w:rFonts w:ascii="Arial" w:cs="Arial" w:eastAsia="Arial" w:hAnsi="Arial"/>
          <w:b/>
          <w:bCs/>
          <w:color w:val="2E75B6"/>
          <w:sz w:val="26"/>
          <w:szCs w:val="26"/>
        </w:rPr>
        <w:t xml:space="preserve">4.2 Super Admin App</w:t>
      </w:r>
    </w:p>
    <w:p>
      <w:pPr>
        <w:spacing w:after="100" w:before="80"/>
      </w:pPr>
      <w:r>
        <w:rPr>
          <w:rFonts w:ascii="Courier New" w:cs="Courier New" w:eastAsia="Courier New" w:hAnsi="Courier New"/>
          <w:b/>
          <w:bCs/>
          <w:color w:val="333333"/>
          <w:sz w:val="22"/>
          <w:szCs w:val="22"/>
        </w:rPr>
        <w:t xml:space="preserve">super-admin-app/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app/(auth)/login/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page for super admins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app/dashboard/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 overview and metrics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app/tenants/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and manage all business tenants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app/tenants/[tenantId]/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 a specific tenant and their modules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app/modules/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and manage all available platform modules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app/api/tenants/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routes for tenant CRUD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app/api/modules/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routes for module management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lib/db.ts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Prisma database client instance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lib/auth.ts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NextAuth configuration (admin accounts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middleware.ts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Restricts access to admin accounts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prisma/schema.prisma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Prisma schema (must stay in sync)</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4.3 Tenant App</w:t>
      </w:r>
    </w:p>
    <w:p>
      <w:pPr>
        <w:spacing w:after="100" w:before="80"/>
      </w:pPr>
      <w:r>
        <w:rPr>
          <w:rFonts w:ascii="Courier New" w:cs="Courier New" w:eastAsia="Courier New" w:hAnsi="Courier New"/>
          <w:b/>
          <w:bCs/>
          <w:color w:val="333333"/>
          <w:sz w:val="22"/>
          <w:szCs w:val="22"/>
        </w:rPr>
        <w:t xml:space="preserve">tenant-app/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app/(auth)/login/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 user login page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app/[tenant]/layout.tsx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Shell layout — reads active modules, builds nav dynamically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app/[tenant]/dashboard/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 home dashboard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app/[tenant]/users/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module — always present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app/[tenant]/inventory/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module — guarded by middleware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app/[tenant]/pos/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 module — guarded by middleware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app/api/[tenant]/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Tenant-scoped API routes per module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modules/users/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module logic (components, hooks, actions, types)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modules/inventory/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module logic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modules/pos/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 module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UI components (Button, Modal, Table, etc.)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components/layout/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Sidebar, Topbar, PageHeader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lib/module-registry.ts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resolves active modules per tenant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lib/tenant.ts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Tenant resolution helpers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middleware.ts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guard based on active modules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prisma/schema.prisma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Prisma schema (must stay in sync)</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5. Database Design</w:t>
      </w:r>
    </w:p>
    <w:p>
      <w:pPr>
        <w:pStyle w:val="Heading2"/>
        <w:spacing w:after="120" w:before="280"/>
      </w:pPr>
      <w:r>
        <w:rPr>
          <w:rFonts w:ascii="Arial" w:cs="Arial" w:eastAsia="Arial" w:hAnsi="Arial"/>
          <w:b/>
          <w:bCs/>
          <w:color w:val="2E75B6"/>
          <w:sz w:val="26"/>
          <w:szCs w:val="26"/>
        </w:rPr>
        <w:t xml:space="preserve">5.1 Core Tables</w:t>
      </w:r>
    </w:p>
    <w:p>
      <w:pPr>
        <w:spacing w:after="100" w:before="80"/>
      </w:pPr>
      <w:r>
        <w:rPr>
          <w:rFonts w:ascii="Arial" w:cs="Arial" w:eastAsia="Arial" w:hAnsi="Arial"/>
          <w:color w:val="333333"/>
          <w:sz w:val="22"/>
          <w:szCs w:val="22"/>
        </w:rPr>
        <w:t xml:space="preserve">The following tables form the foundation of the module system. All other tables are module-specific and only relevant when their respective module is active.</w:t>
      </w:r>
    </w:p>
    <w:p>
      <w:pPr>
        <w:spacing w:after="0" w:before="80"/>
      </w:pPr>
      <w:r>
        <w:t xml:space="preserve"/>
      </w:r>
    </w:p>
    <w:p>
      <w:pPr>
        <w:pStyle w:val="Heading3"/>
        <w:spacing w:after="80" w:before="200"/>
      </w:pPr>
      <w:r>
        <w:rPr>
          <w:rFonts w:ascii="Arial" w:cs="Arial" w:eastAsia="Arial" w:hAnsi="Arial"/>
          <w:b/>
          <w:bCs/>
          <w:color w:val="555555"/>
          <w:sz w:val="22"/>
          <w:szCs w:val="22"/>
        </w:rPr>
        <w:t xml:space="preserve">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(cuid)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tenant identifier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Business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URL-safe identifier used in routing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true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Suspend/activate tenant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updatedAt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Auto-updated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0" w:before="120"/>
      </w:pPr>
      <w:r>
        <w:t xml:space="preserve"/>
      </w:r>
    </w:p>
    <w:p>
      <w:pPr>
        <w:pStyle w:val="Heading3"/>
        <w:spacing w:after="80" w:before="200"/>
      </w:pPr>
      <w:r>
        <w:rPr>
          <w:rFonts w:ascii="Arial" w:cs="Arial" w:eastAsia="Arial" w:hAnsi="Arial"/>
          <w:b/>
          <w:bCs/>
          <w:color w:val="555555"/>
          <w:sz w:val="22"/>
          <w:szCs w:val="22"/>
        </w:rPr>
        <w:t xml:space="preserve">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(cuid)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module identifier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 code used in routing e.g.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name e.g. 'Inventory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Brief description of the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modules cannot be deactivated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dependencies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Module keys this module depends on</w:t>
            </w:r>
          </w:p>
        </w:tc>
      </w:tr>
    </w:tbl>
    <w:p>
      <w:pPr>
        <w:spacing w:after="0" w:before="120"/>
      </w:pPr>
      <w:r>
        <w:t xml:space="preserve"/>
      </w:r>
    </w:p>
    <w:p>
      <w:pPr>
        <w:pStyle w:val="Heading3"/>
        <w:spacing w:after="80" w:before="200"/>
      </w:pPr>
      <w:r>
        <w:rPr>
          <w:rFonts w:ascii="Arial" w:cs="Arial" w:eastAsia="Arial" w:hAnsi="Arial"/>
          <w:b/>
          <w:bCs/>
          <w:color w:val="555555"/>
          <w:sz w:val="22"/>
          <w:szCs w:val="22"/>
        </w:rPr>
        <w:t xml:space="preserve">TenantModule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(cuid)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record identifier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tenantId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-&gt; Tenant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Reference to the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-&gt; Module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 to the module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true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Whether module is currently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module was activated</w:t>
            </w:r>
          </w:p>
        </w:tc>
      </w:tr>
    </w:tbl>
    <w:p>
      <w:pPr>
        <w:spacing w:after="0" w:before="120"/>
      </w:pPr>
      <w:r>
        <w:t xml:space="preserve"/>
      </w:r>
    </w:p>
    <w:p>
      <w:pPr>
        <w:pStyle w:val="Heading3"/>
        <w:spacing w:after="80" w:before="200"/>
      </w:pPr>
      <w:r>
        <w:rPr>
          <w:rFonts w:ascii="Arial" w:cs="Arial" w:eastAsia="Arial" w:hAnsi="Arial"/>
          <w:b/>
          <w:bCs/>
          <w:color w:val="555555"/>
          <w:sz w:val="22"/>
          <w:szCs w:val="22"/>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(cuid)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tenantId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-&gt; Tenant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Tenant this user belongs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per tenant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email address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MANAGER, STAFF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passwordHash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Hashed password (bcrypt)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Enable/disable user access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5.2 Performance Strategy</w:t>
      </w:r>
    </w:p>
    <w:p>
      <w:pPr>
        <w:spacing w:after="100" w:before="80"/>
      </w:pPr>
      <w:r>
        <w:rPr>
          <w:rFonts w:ascii="Arial" w:cs="Arial" w:eastAsia="Arial" w:hAnsi="Arial"/>
          <w:color w:val="333333"/>
          <w:sz w:val="22"/>
          <w:szCs w:val="22"/>
        </w:rPr>
        <w:t xml:space="preserve">All tables with a tenantId column must have a database index on that column. This ensures queries remain fast regardless of the total number of tenants or records in the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Scale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0-50 tenants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Indexes on tenantId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setup, no extra work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50-500 tenants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Indexes + connection pooling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 Neon's built-in pooling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500-5000 tenants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Redis caching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module registry reads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5000+ tenants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Table partitioning + read replicas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Advanced PostgreSQL features</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6. Module System</w:t>
      </w:r>
    </w:p>
    <w:p>
      <w:pPr>
        <w:pStyle w:val="Heading2"/>
        <w:spacing w:after="120" w:before="280"/>
      </w:pPr>
      <w:r>
        <w:rPr>
          <w:rFonts w:ascii="Arial" w:cs="Arial" w:eastAsia="Arial" w:hAnsi="Arial"/>
          <w:b/>
          <w:bCs/>
          <w:color w:val="2E75B6"/>
          <w:sz w:val="26"/>
          <w:szCs w:val="26"/>
        </w:rPr>
        <w:t xml:space="preserve">6.1 How Module Activation Works</w:t>
      </w:r>
    </w:p>
    <w:p>
      <w:pPr>
        <w:spacing w:after="100" w:before="80"/>
      </w:pPr>
      <w:r>
        <w:rPr>
          <w:rFonts w:ascii="Arial" w:cs="Arial" w:eastAsia="Arial" w:hAnsi="Arial"/>
          <w:color w:val="333333"/>
          <w:sz w:val="22"/>
          <w:szCs w:val="22"/>
        </w:rPr>
        <w:t xml:space="preserve">Activating or deactivating a module for a tenant requires no code changes and no redeployment. The process is entirely data-driven: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Super admin toggles a module for a tenant in the Super Admin App</w:t>
      </w:r>
    </w:p>
    <w:p>
      <w:pPr>
        <w:pStyle w:val="ListParagraph"/>
        <w:numPr>
          <w:ilvl w:val="0"/>
          <w:numId w:val="2"/>
        </w:numPr>
        <w:spacing w:after="40" w:before="40"/>
      </w:pPr>
      <w:r>
        <w:rPr>
          <w:rFonts w:ascii="Arial" w:cs="Arial" w:eastAsia="Arial" w:hAnsi="Arial"/>
          <w:b w:val="false"/>
          <w:bCs w:val="false"/>
          <w:color w:val="333333"/>
          <w:sz w:val="22"/>
          <w:szCs w:val="22"/>
        </w:rPr>
        <w:t xml:space="preserve">A record is written to (or updated in) the TenantModule table</w:t>
      </w:r>
    </w:p>
    <w:p>
      <w:pPr>
        <w:pStyle w:val="ListParagraph"/>
        <w:numPr>
          <w:ilvl w:val="0"/>
          <w:numId w:val="2"/>
        </w:numPr>
        <w:spacing w:after="40" w:before="40"/>
      </w:pPr>
      <w:r>
        <w:rPr>
          <w:rFonts w:ascii="Arial" w:cs="Arial" w:eastAsia="Arial" w:hAnsi="Arial"/>
          <w:b w:val="false"/>
          <w:bCs w:val="false"/>
          <w:color w:val="333333"/>
          <w:sz w:val="22"/>
          <w:szCs w:val="22"/>
        </w:rPr>
        <w:t xml:space="preserve">On the next request, the Tenant App's middleware reads the active modules from the database</w:t>
      </w:r>
    </w:p>
    <w:p>
      <w:pPr>
        <w:pStyle w:val="ListParagraph"/>
        <w:numPr>
          <w:ilvl w:val="0"/>
          <w:numId w:val="2"/>
        </w:numPr>
        <w:spacing w:after="40" w:before="40"/>
      </w:pPr>
      <w:r>
        <w:rPr>
          <w:rFonts w:ascii="Arial" w:cs="Arial" w:eastAsia="Arial" w:hAnsi="Arial"/>
          <w:b w:val="false"/>
          <w:bCs w:val="false"/>
          <w:color w:val="333333"/>
          <w:sz w:val="22"/>
          <w:szCs w:val="22"/>
        </w:rPr>
        <w:t xml:space="preserve">The sidebar navigation and accessible routes update automatically</w:t>
      </w:r>
    </w:p>
    <w:p>
      <w:pPr>
        <w:pStyle w:val="ListParagraph"/>
        <w:numPr>
          <w:ilvl w:val="0"/>
          <w:numId w:val="2"/>
        </w:numPr>
        <w:spacing w:after="40" w:before="40"/>
      </w:pPr>
      <w:r>
        <w:rPr>
          <w:rFonts w:ascii="Arial" w:cs="Arial" w:eastAsia="Arial" w:hAnsi="Arial"/>
          <w:b w:val="false"/>
          <w:bCs w:val="false"/>
          <w:color w:val="333333"/>
          <w:sz w:val="22"/>
          <w:szCs w:val="22"/>
        </w:rPr>
        <w:t xml:space="preserve">No code is deployed — the module code was already shipped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6.2 Module Registry</w:t>
      </w:r>
    </w:p>
    <w:p>
      <w:pPr>
        <w:spacing w:after="100" w:before="80"/>
      </w:pPr>
      <w:r>
        <w:rPr>
          <w:rFonts w:ascii="Arial" w:cs="Arial" w:eastAsia="Arial" w:hAnsi="Arial"/>
          <w:color w:val="333333"/>
          <w:sz w:val="22"/>
          <w:szCs w:val="22"/>
        </w:rPr>
        <w:t xml:space="preserve">The module registry (lib/module-registry.ts) is the most critical file in the Tenant App. It is called on every request to determine what a tenant can access. Its result should be cached (e.g. in Redis or Next.js cache) with invalidation triggered when module settings change.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6.3 Available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Module Key</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 users, roles, and permissions per tenant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inventory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Inventory Management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stock, products, categories, and suppliers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of Sale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Walk-in sales, cart, payments, and receipts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appointments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Appointments &amp; Scheduling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Calendar, bookings, reminders, availability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&amp; Invoicing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Invoices, payments, outstanding balances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 &amp; Payroll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Staff scheduling, attendance, payroll computation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Reports &amp;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inventory, and performance reports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job-orders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Job Orders / Services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service jobs, assignments, and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records, history, and communications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6.4 Module Folder Structure</w:t>
      </w:r>
    </w:p>
    <w:p>
      <w:pPr>
        <w:spacing w:after="100" w:before="80"/>
      </w:pPr>
      <w:r>
        <w:rPr>
          <w:rFonts w:ascii="Arial" w:cs="Arial" w:eastAsia="Arial" w:hAnsi="Arial"/>
          <w:color w:val="333333"/>
          <w:sz w:val="22"/>
          <w:szCs w:val="22"/>
        </w:rPr>
        <w:t xml:space="preserve">Each module in the modules/ directory follows an identical internal structure, keeping logic self-contained and portable: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Folder / File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components specific to this module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hooks/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 React hooks for data fetching and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Server Actions for mutations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TypeScript type definitions for this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exports — only import from here, not sub-files</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7. Industry Use Cases</w:t>
      </w:r>
    </w:p>
    <w:p>
      <w:pPr>
        <w:spacing w:after="100" w:before="80"/>
      </w:pPr>
      <w:r>
        <w:rPr>
          <w:rFonts w:ascii="Arial" w:cs="Arial" w:eastAsia="Arial" w:hAnsi="Arial"/>
          <w:color w:val="333333"/>
          <w:sz w:val="22"/>
          <w:szCs w:val="22"/>
        </w:rPr>
        <w:t xml:space="preserve">Because modules are generic and configurable, the same platform can serve multiple industries by activating different module combinations. The following are reference configurations for common verticals.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Industry</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Recommended 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Dental Clinic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Appointments, Patient Records (EMR), Billing, Inventory, HMO/Insurance, HR &amp; Payroll,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 Accessories Shop</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Users, POS, Inventory, Job Orders, Billing, HR &amp; Payroll,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 Spa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Appointments, Billing, Inventory, HR &amp; Payroll,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Restaurant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Users, POS, Inventory, HR &amp; Payroll,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Store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POS, Inventory, CRM, Billing, HR &amp; Payroll,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Law Firm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Users, Appointments, Billing, Document Management, HR &amp; Payroll, Reports</w:t>
            </w:r>
          </w:p>
        </w:tc>
      </w:tr>
    </w:tbl>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8. Security Considerations</w:t>
      </w:r>
    </w:p>
    <w:p>
      <w:pPr>
        <w:pStyle w:val="Heading2"/>
        <w:spacing w:after="120" w:before="280"/>
      </w:pPr>
      <w:r>
        <w:rPr>
          <w:rFonts w:ascii="Arial" w:cs="Arial" w:eastAsia="Arial" w:hAnsi="Arial"/>
          <w:b/>
          <w:bCs/>
          <w:color w:val="2E75B6"/>
          <w:sz w:val="26"/>
          <w:szCs w:val="26"/>
        </w:rPr>
        <w:t xml:space="preserve">8.1 Tenant Isolation</w:t>
      </w:r>
    </w:p>
    <w:p>
      <w:pPr>
        <w:pStyle w:val="ListParagraph"/>
        <w:numPr>
          <w:ilvl w:val="0"/>
          <w:numId w:val="2"/>
        </w:numPr>
        <w:spacing w:after="40" w:before="40"/>
      </w:pPr>
      <w:r>
        <w:rPr>
          <w:rFonts w:ascii="Arial" w:cs="Arial" w:eastAsia="Arial" w:hAnsi="Arial"/>
          <w:b w:val="false"/>
          <w:bCs w:val="false"/>
          <w:color w:val="333333"/>
          <w:sz w:val="22"/>
          <w:szCs w:val="22"/>
        </w:rPr>
        <w:t xml:space="preserve">Every database query is scoped with a WHERE tenantId = ? clause via Prisma</w:t>
      </w:r>
    </w:p>
    <w:p>
      <w:pPr>
        <w:pStyle w:val="ListParagraph"/>
        <w:numPr>
          <w:ilvl w:val="0"/>
          <w:numId w:val="2"/>
        </w:numPr>
        <w:spacing w:after="40" w:before="40"/>
      </w:pPr>
      <w:r>
        <w:rPr>
          <w:rFonts w:ascii="Arial" w:cs="Arial" w:eastAsia="Arial" w:hAnsi="Arial"/>
          <w:b w:val="false"/>
          <w:bCs w:val="false"/>
          <w:color w:val="333333"/>
          <w:sz w:val="22"/>
          <w:szCs w:val="22"/>
        </w:rPr>
        <w:t xml:space="preserve">Middleware validates tenant identity on every request before rendering</w:t>
      </w:r>
    </w:p>
    <w:p>
      <w:pPr>
        <w:pStyle w:val="ListParagraph"/>
        <w:numPr>
          <w:ilvl w:val="0"/>
          <w:numId w:val="2"/>
        </w:numPr>
        <w:spacing w:after="40" w:before="40"/>
      </w:pPr>
      <w:r>
        <w:rPr>
          <w:rFonts w:ascii="Arial" w:cs="Arial" w:eastAsia="Arial" w:hAnsi="Arial"/>
          <w:b w:val="false"/>
          <w:bCs w:val="false"/>
          <w:color w:val="333333"/>
          <w:sz w:val="22"/>
          <w:szCs w:val="22"/>
        </w:rPr>
        <w:t xml:space="preserve">Row Level Security (RLS) in PostgreSQL can be enabled as an additional safeguard</w:t>
      </w:r>
    </w:p>
    <w:p>
      <w:pPr>
        <w:pStyle w:val="Heading2"/>
        <w:spacing w:after="120" w:before="280"/>
      </w:pPr>
      <w:r>
        <w:rPr>
          <w:rFonts w:ascii="Arial" w:cs="Arial" w:eastAsia="Arial" w:hAnsi="Arial"/>
          <w:b/>
          <w:bCs/>
          <w:color w:val="2E75B6"/>
          <w:sz w:val="26"/>
          <w:szCs w:val="26"/>
        </w:rPr>
        <w:t xml:space="preserve">8.2 Authentication</w:t>
      </w:r>
    </w:p>
    <w:p>
      <w:pPr>
        <w:pStyle w:val="ListParagraph"/>
        <w:numPr>
          <w:ilvl w:val="0"/>
          <w:numId w:val="2"/>
        </w:numPr>
        <w:spacing w:after="40" w:before="40"/>
      </w:pPr>
      <w:r>
        <w:rPr>
          <w:rFonts w:ascii="Arial" w:cs="Arial" w:eastAsia="Arial" w:hAnsi="Arial"/>
          <w:b w:val="false"/>
          <w:bCs w:val="false"/>
          <w:color w:val="333333"/>
          <w:sz w:val="22"/>
          <w:szCs w:val="22"/>
        </w:rPr>
        <w:t xml:space="preserve">Super Admin App and Tenant App have completely separate authentication systems</w:t>
      </w:r>
    </w:p>
    <w:p>
      <w:pPr>
        <w:pStyle w:val="ListParagraph"/>
        <w:numPr>
          <w:ilvl w:val="0"/>
          <w:numId w:val="2"/>
        </w:numPr>
        <w:spacing w:after="40" w:before="40"/>
      </w:pPr>
      <w:r>
        <w:rPr>
          <w:rFonts w:ascii="Arial" w:cs="Arial" w:eastAsia="Arial" w:hAnsi="Arial"/>
          <w:b w:val="false"/>
          <w:bCs w:val="false"/>
          <w:color w:val="333333"/>
          <w:sz w:val="22"/>
          <w:szCs w:val="22"/>
        </w:rPr>
        <w:t xml:space="preserve">Super Admin accounts cannot be created through the Tenant App</w:t>
      </w:r>
    </w:p>
    <w:p>
      <w:pPr>
        <w:pStyle w:val="ListParagraph"/>
        <w:numPr>
          <w:ilvl w:val="0"/>
          <w:numId w:val="2"/>
        </w:numPr>
        <w:spacing w:after="40" w:before="40"/>
      </w:pPr>
      <w:r>
        <w:rPr>
          <w:rFonts w:ascii="Arial" w:cs="Arial" w:eastAsia="Arial" w:hAnsi="Arial"/>
          <w:b w:val="false"/>
          <w:bCs w:val="false"/>
          <w:color w:val="333333"/>
          <w:sz w:val="22"/>
          <w:szCs w:val="22"/>
        </w:rPr>
        <w:t xml:space="preserve">Passwords are hashed using bcrypt before storage</w:t>
      </w:r>
    </w:p>
    <w:p>
      <w:pPr>
        <w:pStyle w:val="ListParagraph"/>
        <w:numPr>
          <w:ilvl w:val="0"/>
          <w:numId w:val="2"/>
        </w:numPr>
        <w:spacing w:after="40" w:before="40"/>
      </w:pPr>
      <w:r>
        <w:rPr>
          <w:rFonts w:ascii="Arial" w:cs="Arial" w:eastAsia="Arial" w:hAnsi="Arial"/>
          <w:b w:val="false"/>
          <w:bCs w:val="false"/>
          <w:color w:val="333333"/>
          <w:sz w:val="22"/>
          <w:szCs w:val="22"/>
        </w:rPr>
        <w:t xml:space="preserve">Sessions use signed JWTs managed by NextAuth.js</w:t>
      </w:r>
    </w:p>
    <w:p>
      <w:pPr>
        <w:pStyle w:val="Heading2"/>
        <w:spacing w:after="120" w:before="280"/>
      </w:pPr>
      <w:r>
        <w:rPr>
          <w:rFonts w:ascii="Arial" w:cs="Arial" w:eastAsia="Arial" w:hAnsi="Arial"/>
          <w:b/>
          <w:bCs/>
          <w:color w:val="2E75B6"/>
          <w:sz w:val="26"/>
          <w:szCs w:val="26"/>
        </w:rPr>
        <w:t xml:space="preserve">8.3 Module Access Control</w:t>
      </w:r>
    </w:p>
    <w:p>
      <w:pPr>
        <w:pStyle w:val="ListParagraph"/>
        <w:numPr>
          <w:ilvl w:val="0"/>
          <w:numId w:val="2"/>
        </w:numPr>
        <w:spacing w:after="40" w:before="40"/>
      </w:pPr>
      <w:r>
        <w:rPr>
          <w:rFonts w:ascii="Arial" w:cs="Arial" w:eastAsia="Arial" w:hAnsi="Arial"/>
          <w:b w:val="false"/>
          <w:bCs w:val="false"/>
          <w:color w:val="333333"/>
          <w:sz w:val="22"/>
          <w:szCs w:val="22"/>
        </w:rPr>
        <w:t xml:space="preserve">Accessing a module route without that module being active returns a 403 or redirect</w:t>
      </w:r>
    </w:p>
    <w:p>
      <w:pPr>
        <w:pStyle w:val="ListParagraph"/>
        <w:numPr>
          <w:ilvl w:val="0"/>
          <w:numId w:val="2"/>
        </w:numPr>
        <w:spacing w:after="40" w:before="40"/>
      </w:pPr>
      <w:r>
        <w:rPr>
          <w:rFonts w:ascii="Arial" w:cs="Arial" w:eastAsia="Arial" w:hAnsi="Arial"/>
          <w:b w:val="false"/>
          <w:bCs w:val="false"/>
          <w:color w:val="333333"/>
          <w:sz w:val="22"/>
          <w:szCs w:val="22"/>
        </w:rPr>
        <w:t xml:space="preserve">This is enforced in middleware.ts before the page even loads</w:t>
      </w:r>
    </w:p>
    <w:p>
      <w:pPr>
        <w:pStyle w:val="ListParagraph"/>
        <w:numPr>
          <w:ilvl w:val="0"/>
          <w:numId w:val="2"/>
        </w:numPr>
        <w:spacing w:after="40" w:before="40"/>
      </w:pPr>
      <w:r>
        <w:rPr>
          <w:rFonts w:ascii="Arial" w:cs="Arial" w:eastAsia="Arial" w:hAnsi="Arial"/>
          <w:b w:val="false"/>
          <w:bCs w:val="false"/>
          <w:color w:val="333333"/>
          <w:sz w:val="22"/>
          <w:szCs w:val="22"/>
        </w:rPr>
        <w:t xml:space="preserve">API routes under /api/[tenant]/[module]/ perform the same check</w:t>
      </w:r>
    </w:p>
    <w:p>
      <w:pPr>
        <w:pStyle w:val="Heading2"/>
        <w:spacing w:after="120" w:before="280"/>
      </w:pPr>
      <w:r>
        <w:rPr>
          <w:rFonts w:ascii="Arial" w:cs="Arial" w:eastAsia="Arial" w:hAnsi="Arial"/>
          <w:b/>
          <w:bCs/>
          <w:color w:val="2E75B6"/>
          <w:sz w:val="26"/>
          <w:szCs w:val="26"/>
        </w:rPr>
        <w:t xml:space="preserve">8.4 Data Privacy</w:t>
      </w:r>
    </w:p>
    <w:p>
      <w:pPr>
        <w:pStyle w:val="ListParagraph"/>
        <w:numPr>
          <w:ilvl w:val="0"/>
          <w:numId w:val="2"/>
        </w:numPr>
        <w:spacing w:after="40" w:before="40"/>
      </w:pPr>
      <w:r>
        <w:rPr>
          <w:rFonts w:ascii="Arial" w:cs="Arial" w:eastAsia="Arial" w:hAnsi="Arial"/>
          <w:b w:val="false"/>
          <w:bCs w:val="false"/>
          <w:color w:val="333333"/>
          <w:sz w:val="22"/>
          <w:szCs w:val="22"/>
        </w:rPr>
        <w:t xml:space="preserve">Patient and personal records fall under applicable data privacy laws (e.g. Data Privacy Act, GDPR)</w:t>
      </w:r>
    </w:p>
    <w:p>
      <w:pPr>
        <w:pStyle w:val="ListParagraph"/>
        <w:numPr>
          <w:ilvl w:val="0"/>
          <w:numId w:val="2"/>
        </w:numPr>
        <w:spacing w:after="40" w:before="40"/>
      </w:pPr>
      <w:r>
        <w:rPr>
          <w:rFonts w:ascii="Arial" w:cs="Arial" w:eastAsia="Arial" w:hAnsi="Arial"/>
          <w:b w:val="false"/>
          <w:bCs w:val="false"/>
          <w:color w:val="333333"/>
          <w:sz w:val="22"/>
          <w:szCs w:val="22"/>
        </w:rPr>
        <w:t xml:space="preserve">Sensitive fields (medical history, financials) should be encrypted at rest</w:t>
      </w:r>
    </w:p>
    <w:p>
      <w:pPr>
        <w:pStyle w:val="ListParagraph"/>
        <w:numPr>
          <w:ilvl w:val="0"/>
          <w:numId w:val="2"/>
        </w:numPr>
        <w:spacing w:after="40" w:before="40"/>
      </w:pPr>
      <w:r>
        <w:rPr>
          <w:rFonts w:ascii="Arial" w:cs="Arial" w:eastAsia="Arial" w:hAnsi="Arial"/>
          <w:b w:val="false"/>
          <w:bCs w:val="false"/>
          <w:color w:val="333333"/>
          <w:sz w:val="22"/>
          <w:szCs w:val="22"/>
        </w:rPr>
        <w:t xml:space="preserve">Audit logging of record access is recommended for regulated industries</w:t>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9.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Recommended Platform</w:t>
            </w:r>
          </w:p>
        </w:tc>
        <w:tc>
          <w:tcPr>
            <w:tcW w:type="dxa" w:w="40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URL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 Admin App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(Free or Pro)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admin.yourdomain.com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Tenant App</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(Free)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app.yourdomain.com/[tenant]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Neon (Serverless Postgres)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Managed by Neon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Uploadthing / Cloudflare R2</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CDN-delivered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Transactional via API</w:t>
            </w:r>
          </w:p>
        </w:tc>
      </w:tr>
    </w:tbl>
    <w:p>
      <w:pPr>
        <w:spacing w:after="0" w:before="120"/>
      </w:pPr>
      <w:r>
        <w:t xml:space="preserve"/>
      </w:r>
    </w:p>
    <w:p>
      <w:pPr>
        <w:spacing w:after="100" w:before="80"/>
      </w:pPr>
      <w:r>
        <w:rPr>
          <w:rFonts w:ascii="Arial" w:cs="Arial" w:eastAsia="Arial" w:hAnsi="Arial"/>
          <w:color w:val="333333"/>
          <w:sz w:val="22"/>
          <w:szCs w:val="22"/>
        </w:rPr>
        <w:t xml:space="preserve">Note: If subdomain-per-tenant routing is required (e.g. business-a.yourdomain.com), Vercel Pro ($20/month) is needed for wildcard subdomain support. Path-based routing (app.yourdomain.com/[tenant]) works on the free tier and is recommended for the initial version.</w:t>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 schema, NextAuth setup, middleware, module registry, base layout with dynamic nav</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Module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management — list, create, edit, roles, and permissions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 Admin App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Tenant management, module toggle UI, platform dashboard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First Optional Module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Inventory or POS — whichever matches the first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&amp; Reports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Invoicing, basic analytics, exportable reports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Vertical Modules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Industry-specific modules added as clients are onboarded</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Key Principle</w:t>
      </w:r>
    </w:p>
    <w:p>
      <w:pPr>
        <w:spacing w:after="100" w:before="80"/>
      </w:pPr>
      <w:r>
        <w:rPr>
          <w:rFonts w:ascii="Arial" w:cs="Arial" w:eastAsia="Arial" w:hAnsi="Arial"/>
          <w:color w:val="333333"/>
          <w:sz w:val="22"/>
          <w:szCs w:val="22"/>
        </w:rPr>
        <w:t xml:space="preserve">Always build Phase 1 (foundation) completely before any module work. The module registry and middleware are the backbone of the entire system — getting them right first means every subsequent module is straightforward to add.</w:t>
      </w:r>
    </w:p>
    <w:p>
      <w:r>
        <w:br w:type="page"/>
      </w:r>
    </w:p>
    <w:p>
      <w:pPr>
        <w:pStyle w:val="Heading1"/>
        <w:pBdr>
          <w:bottom w:val="single" w:color="2E75B6" w:sz="6" w:space="4"/>
        </w:pBdr>
        <w:spacing w:after="160" w:before="360"/>
      </w:pPr>
      <w:r>
        <w:rPr>
          <w:rFonts w:ascii="Arial" w:cs="Arial" w:eastAsia="Arial" w:hAnsi="Arial"/>
          <w:b/>
          <w:bCs/>
          <w:color w:val="1E3A5F"/>
          <w:sz w:val="32"/>
          <w:szCs w:val="32"/>
        </w:rPr>
        <w:t xml:space="preserve">11. Future Considerations</w:t>
      </w:r>
    </w:p>
    <w:p>
      <w:pPr>
        <w:pStyle w:val="ListParagraph"/>
        <w:numPr>
          <w:ilvl w:val="0"/>
          <w:numId w:val="2"/>
        </w:numPr>
        <w:spacing w:after="40" w:before="40"/>
      </w:pPr>
      <w:r>
        <w:rPr>
          <w:rFonts w:ascii="Arial" w:cs="Arial" w:eastAsia="Arial" w:hAnsi="Arial"/>
          <w:b w:val="false"/>
          <w:bCs w:val="false"/>
          <w:color w:val="333333"/>
          <w:sz w:val="22"/>
          <w:szCs w:val="22"/>
        </w:rPr>
        <w:t xml:space="preserve">Monorepo setup (Turborepo) to share Prisma schema as a package between both apps</w:t>
      </w:r>
    </w:p>
    <w:p>
      <w:pPr>
        <w:pStyle w:val="ListParagraph"/>
        <w:numPr>
          <w:ilvl w:val="0"/>
          <w:numId w:val="2"/>
        </w:numPr>
        <w:spacing w:after="40" w:before="40"/>
      </w:pPr>
      <w:r>
        <w:rPr>
          <w:rFonts w:ascii="Arial" w:cs="Arial" w:eastAsia="Arial" w:hAnsi="Arial"/>
          <w:b w:val="false"/>
          <w:bCs w:val="false"/>
          <w:color w:val="333333"/>
          <w:sz w:val="22"/>
          <w:szCs w:val="22"/>
        </w:rPr>
        <w:t xml:space="preserve">Subdomain per tenant routing when client branding becomes a requirement</w:t>
      </w:r>
    </w:p>
    <w:p>
      <w:pPr>
        <w:pStyle w:val="ListParagraph"/>
        <w:numPr>
          <w:ilvl w:val="0"/>
          <w:numId w:val="2"/>
        </w:numPr>
        <w:spacing w:after="40" w:before="40"/>
      </w:pPr>
      <w:r>
        <w:rPr>
          <w:rFonts w:ascii="Arial" w:cs="Arial" w:eastAsia="Arial" w:hAnsi="Arial"/>
          <w:b w:val="false"/>
          <w:bCs w:val="false"/>
          <w:color w:val="333333"/>
          <w:sz w:val="22"/>
          <w:szCs w:val="22"/>
        </w:rPr>
        <w:t xml:space="preserve">Custom domain mapping for white-label clients</w:t>
      </w:r>
    </w:p>
    <w:p>
      <w:pPr>
        <w:pStyle w:val="ListParagraph"/>
        <w:numPr>
          <w:ilvl w:val="0"/>
          <w:numId w:val="2"/>
        </w:numPr>
        <w:spacing w:after="40" w:before="40"/>
      </w:pPr>
      <w:r>
        <w:rPr>
          <w:rFonts w:ascii="Arial" w:cs="Arial" w:eastAsia="Arial" w:hAnsi="Arial"/>
          <w:b w:val="false"/>
          <w:bCs w:val="false"/>
          <w:color w:val="333333"/>
          <w:sz w:val="22"/>
          <w:szCs w:val="22"/>
        </w:rPr>
        <w:t xml:space="preserve">Redis caching layer for the module registry at higher tenant volumes</w:t>
      </w:r>
    </w:p>
    <w:p>
      <w:pPr>
        <w:pStyle w:val="ListParagraph"/>
        <w:numPr>
          <w:ilvl w:val="0"/>
          <w:numId w:val="2"/>
        </w:numPr>
        <w:spacing w:after="40" w:before="40"/>
      </w:pPr>
      <w:r>
        <w:rPr>
          <w:rFonts w:ascii="Arial" w:cs="Arial" w:eastAsia="Arial" w:hAnsi="Arial"/>
          <w:b w:val="false"/>
          <w:bCs w:val="false"/>
          <w:color w:val="333333"/>
          <w:sz w:val="22"/>
          <w:szCs w:val="22"/>
        </w:rPr>
        <w:t xml:space="preserve">Row Level Security (RLS) enforcement at the PostgreSQL level</w:t>
      </w:r>
    </w:p>
    <w:p>
      <w:pPr>
        <w:pStyle w:val="ListParagraph"/>
        <w:numPr>
          <w:ilvl w:val="0"/>
          <w:numId w:val="2"/>
        </w:numPr>
        <w:spacing w:after="40" w:before="40"/>
      </w:pPr>
      <w:r>
        <w:rPr>
          <w:rFonts w:ascii="Arial" w:cs="Arial" w:eastAsia="Arial" w:hAnsi="Arial"/>
          <w:b w:val="false"/>
          <w:bCs w:val="false"/>
          <w:color w:val="333333"/>
          <w:sz w:val="22"/>
          <w:szCs w:val="22"/>
        </w:rPr>
        <w:t xml:space="preserve">Webhook system for cross-module event notifications</w:t>
      </w:r>
    </w:p>
    <w:p>
      <w:pPr>
        <w:pStyle w:val="ListParagraph"/>
        <w:numPr>
          <w:ilvl w:val="0"/>
          <w:numId w:val="2"/>
        </w:numPr>
        <w:spacing w:after="40" w:before="40"/>
      </w:pPr>
      <w:r>
        <w:rPr>
          <w:rFonts w:ascii="Arial" w:cs="Arial" w:eastAsia="Arial" w:hAnsi="Arial"/>
          <w:b w:val="false"/>
          <w:bCs w:val="false"/>
          <w:color w:val="333333"/>
          <w:sz w:val="22"/>
          <w:szCs w:val="22"/>
        </w:rPr>
        <w:t xml:space="preserve">Public API for third-party integrations per tenant</w:t>
      </w:r>
    </w:p>
    <w:p>
      <w:pPr>
        <w:pStyle w:val="ListParagraph"/>
        <w:numPr>
          <w:ilvl w:val="0"/>
          <w:numId w:val="2"/>
        </w:numPr>
        <w:spacing w:after="40" w:before="40"/>
      </w:pPr>
      <w:r>
        <w:rPr>
          <w:rFonts w:ascii="Arial" w:cs="Arial" w:eastAsia="Arial" w:hAnsi="Arial"/>
          <w:b w:val="false"/>
          <w:bCs w:val="false"/>
          <w:color w:val="333333"/>
          <w:sz w:val="22"/>
          <w:szCs w:val="22"/>
        </w:rPr>
        <w:t xml:space="preserve">Mobile app (React Native) using the same API layer</w:t>
      </w:r>
    </w:p>
    <w:p>
      <w:pPr>
        <w:spacing w:after="0" w:before="200"/>
      </w:pPr>
      <w:r>
        <w:t xml:space="preserve"/>
      </w:r>
    </w:p>
    <w:p>
      <w:pPr>
        <w:pBdr>
          <w:top w:val="single" w:color="2E75B6" w:sz="4" w:space="8"/>
        </w:pBdr>
        <w:spacing w:before="200"/>
        <w:jc w:val="center"/>
      </w:pPr>
      <w:r>
        <w:rPr>
          <w:rFonts w:ascii="Arial" w:cs="Arial" w:eastAsia="Arial" w:hAnsi="Arial"/>
          <w:i/>
          <w:iCs/>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8"/>
        <w:szCs w:val="18"/>
      </w:rPr>
      <w:t xml:space="preserve">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8"/>
        <w:szCs w:val="18"/>
      </w:rPr>
      <w:t xml:space="preserve">System Design Document</w:t>
    </w:r>
    <w:r>
      <w:rPr>
        <w:rFonts w:ascii="Arial" w:cs="Arial" w:eastAsia="Arial" w:hAnsi="Arial"/>
        <w:color w:val="2E75B6"/>
        <w:sz w:val="18"/>
        <w:szCs w:val="18"/>
      </w:rPr>
      <w:t xml:space="preserve">	Modular Multi-Tenant SaaS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2026-03-30T17:45:05.305Z</dcterms:created>
  <dcterms:modified xsi:type="dcterms:W3CDTF">2026-03-30T17:45:05.305Z</dcterms:modified>
</cp:coreProperties>
</file>

<file path=docProps/custom.xml><?xml version="1.0" encoding="utf-8"?>
<Properties xmlns="http://schemas.openxmlformats.org/officeDocument/2006/custom-properties" xmlns:vt="http://schemas.openxmlformats.org/officeDocument/2006/docPropsVTypes"/>
</file>