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563EB"/>
          <w:sz w:val="44"/>
          <w:szCs w:val="44"/>
        </w:rPr>
        <w:t xml:space="preserve">SellerHealth Watchlist</w:t>
      </w:r>
    </w:p>
    <w:p>
      <w:pPr>
        <w:spacing w:after="200"/>
        <w:jc w:val="center"/>
      </w:pPr>
      <w:r>
        <w:rPr>
          <w:i/>
          <w:iCs/>
          <w:color w:val="1F2937"/>
          <w:sz w:val="24"/>
          <w:szCs w:val="24"/>
        </w:rPr>
        <w:t xml:space="preserve">A Lightweight, Explainable Seller Risk Monitoring System for Marketplace Seller-Services Teams</w:t>
      </w:r>
    </w:p>
    <w:p>
      <w:pPr>
        <w:spacing w:after="360"/>
        <w:jc w:val="center"/>
      </w:pPr>
      <w:r>
        <w:rPr>
          <w:color w:val="6B7280"/>
          <w:sz w:val="18"/>
          <w:szCs w:val="18"/>
        </w:rPr>
        <w:t xml:space="preserve">GitHub: github.com/thedikshantmahlawat/sellerhealth-watchlist</w:t>
      </w:r>
    </w:p>
    <w:p>
      <w:pPr>
        <w:pStyle w:val="Heading1"/>
        <w:spacing w:after="120" w:before="280"/>
      </w:pPr>
      <w:r>
        <w:t xml:space="preserve">Problem Statement</w:t>
      </w:r>
    </w:p>
    <w:p>
      <w:pPr>
        <w:spacing w:after="160"/>
      </w:pPr>
      <w:r>
        <w:t xml:space="preserve">On any seller marketplace, a small share of sellers drives a disproportionate share of late shipments, cancellations, and refund/customer-service cost. Without a systematic way to score and rank sellers on this, that concentration stays invisible until it surfaces as complaint volume, policy strikes, or buyer churn. This project builds a seller-level early-warning system: a composite risk score that an operations manager can audit line by line, and a separate anomaly flag for sellers who break down suddenly rather than gradually. Both are deliberately simple rather than a black-box model — a seller coaching program only works if the people running it trust and understand the score behind it.</w:t>
      </w:r>
    </w:p>
    <w:p>
      <w:pPr>
        <w:pStyle w:val="Heading1"/>
        <w:spacing w:after="120" w:before="280"/>
      </w:pPr>
      <w:r>
        <w:t xml:space="preserve">Approach &amp; Methodology</w:t>
      </w:r>
    </w:p>
    <w:p>
      <w:pPr>
        <w:spacing w:after="160"/>
      </w:pPr>
      <w:r>
        <w:t xml:space="preserve">The pipeline runs in four stages: a documented SQL aggregation layer builds seller-month metrics (late shipment rate, cancellation rate, review score, revenue) from order-level data; a Python layer computes a transparent weighted risk score plus a rolling-anomaly flag; a Streamlit dashboard makes both explorable; and a Power BI export layer turns the same output into a clean star schema for BI-tool reporting.</w:t>
      </w:r>
    </w:p>
    <w:p>
      <w:pPr>
        <w:spacing w:after="160"/>
      </w:pPr>
      <w:r>
        <w:rPr>
          <w:b/>
          <w:bCs/>
        </w:rPr>
        <w:t xml:space="preserve">Risk score weighting (0–100 scale, higher = higher risk):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400"/>
      </w:tblGrid>
      <w:tr>
        <w:tc>
          <w:tcPr>
            <w:tcW w:type="dxa" w:w="32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4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4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this weight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 shipment rate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35%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Largest driver of CS tickets &amp; refunds; fully within seller control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Cancellation rate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Direct lost revenue + refund cost; usually a stock-accuracy issue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score (inverted)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 but lagging signal, blended with product quality — weighted third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 volume decline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Early-warning sign, but swings also have benign causes (seasonality)</w:t>
            </w:r>
          </w:p>
        </w:tc>
      </w:tr>
    </w:tbl>
    <w:p>
      <w:pPr>
        <w:spacing w:after="160"/>
      </w:pPr>
      <w:r>
        <w:t xml:space="preserve">Each component is scored relative to that month's other sellers, not a fixed historical anchor — so a marketplace-wide disruption (e.g. a carrier delay) doesn't automatically flag every seller as high risk. The anomaly flag is a separate, second signal: it compares a seller's current score to their own recent trailing average using a pooled standard deviation (chosen after testing showed a naive per-seller rolling z-score over-flagged on small sample sizes), so a seller who was fine for a year and just broke down gets caught early, before it becomes chronic.</w:t>
      </w:r>
    </w:p>
    <w:p>
      <w:pPr>
        <w:pStyle w:val="Heading1"/>
        <w:spacing w:after="120" w:before="280"/>
      </w:pPr>
      <w:r>
        <w:t xml:space="preserve">Key Findings (demo data)</w:t>
      </w:r>
    </w:p>
    <w:p>
      <w:pPr>
        <w:spacing w:after="160"/>
      </w:pPr>
      <w:r>
        <w:t xml:space="preserve">Figures below are computed by the pipeline on the project's data (see “A note on the data”) over the trailing 3-month window in that dataset. Currency in BRL (R$), the dataset's native currency.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600"/>
      </w:tblGrid>
      <w:tr>
        <w:tc>
          <w:tcPr>
            <w:tcW w:type="dxa" w:w="54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 (trailing 3-month window, 2018-04 to 2018-06)</w:t>
            </w:r>
          </w:p>
        </w:tc>
        <w:tc>
          <w:tcPr>
            <w:tcW w:type="dxa" w:w="36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Sellers in bottom 5% by risk score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 of 220</w:t>
            </w:r>
          </w:p>
        </w:tc>
      </w:tr>
      <w:tr>
        <w:tc>
          <w:tcPr>
            <w:tcW w:type="dxa" w:w="5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Cancellations attributable to that 5%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15.9%</w:t>
            </w:r>
          </w:p>
        </w:tc>
      </w:tr>
      <w:tr>
        <w:tc>
          <w:tcPr>
            <w:tcW w:type="dxa" w:w="5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 shipments attributable to that 5%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11.2%</w:t>
            </w:r>
          </w:p>
        </w:tc>
      </w:tr>
      <w:tr>
        <w:tc>
          <w:tcPr>
            <w:tcW w:type="dxa" w:w="5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Sellers recommended for coaching (bottom 10%)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5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Seller-months flagged for sudden deterioration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5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Illustrative prevented refund/CS cost (window)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~R$ 1,291</w:t>
            </w:r>
          </w:p>
        </w:tc>
      </w:tr>
      <w:tr>
        <w:tc>
          <w:tcPr>
            <w:tcW w:type="dxa" w:w="5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Illustrative prevented cost, annualized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~R$ 5,163</w:t>
            </w:r>
          </w:p>
        </w:tc>
      </w:tr>
    </w:tbl>
    <w:p>
      <w:pPr>
        <w:spacing w:after="160"/>
      </w:pPr>
      <w:r>
        <w:rPr>
          <w:i/>
          <w:iCs/>
          <w:sz w:val="20"/>
          <w:szCs w:val="20"/>
        </w:rPr>
        <w:t xml:space="preserve">The prevented-cost figures are an illustrative scenario calculation — they rest on one clearly labeled, adjustable assumption (an average cost per cancellation) rather than an audited real business number. The calculation and that assumption are both in src/generate_business_case.py, ready to be swapped for a real internal cost figure.</w:t>
      </w:r>
    </w:p>
    <w:p>
      <w:pPr>
        <w:pStyle w:val="Heading1"/>
        <w:spacing w:after="120" w:before="280"/>
      </w:pPr>
      <w:r>
        <w:t xml:space="preserve">Tech Stack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SQL (SQLite): documented aggregation from order-level to seller-month grain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(pandas, numpy): weighted risk score, pooled-std rolling anomaly detection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Streamlit: 3-module interactive dashboard (marketplace overview, ranked watchlist with trend sparklines, seller drill-down)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Power BI: star-schema CSV export (fact + 3 dimension tables) with a full data dictionary and ready-to-use DAX measures</w:t>
      </w:r>
    </w:p>
    <w:p>
      <w:pPr>
        <w:pStyle w:val="Heading1"/>
        <w:spacing w:after="120" w:before="280"/>
      </w:pPr>
      <w:r>
        <w:t xml:space="preserve">Relevance to Seller-Services Business Analyst Roles</w:t>
      </w:r>
    </w:p>
    <w:p>
      <w:pPr>
        <w:spacing w:after="160"/>
      </w:pPr>
      <w:r>
        <w:t xml:space="preserve">This project was built to mirror the core loop of a marketplace seller-services BA role: turn raw order/seller data into a metric definition an ops team can act on, translate that into a ranked, explainable score, and package it for both a self-serve dashboard and a BI tool a stakeholder already uses. The explicit weighting rationale, the documented denominator choices in the SQL layer, and the clearly-labeled assumptions in the business-impact estimate are meant to reflect exactly the kind of scrutiny a real seller-performance metric gets before it drives a policy or a coaching program — the same scrutiny relevant to marketplace seller-operations analytics work of the kind done at companies like Amazon (seller services), Meesho, or in a risk/operations-analytics context at a financial services firm like JPMorgan Chase.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SellerHealth Watchlist — </w:t>
    </w: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2026-07-18T08:16:20.292Z</dcterms:created>
  <dcterms:modified xsi:type="dcterms:W3CDTF">2026-07-18T08:16:20.293Z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