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ea6wqr7j3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Описание проекта: Виртуальный визажист на базе Aesthetics-Aware Generative Makeup Transfer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6bkqkv0iv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Этап 1: Подготовка синтетических данных (Data Pipeline)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Поскольку парные датасеты (до/после макияжа) для обучения отсутствуют, первый этап посвящен программной генерации синтетических данных на основе экспертных правил (Rule-Based Expert System). Это заменяет ручную разметку датасета.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1.1. Извлечение пространственных масок (Face Parsing):</w:t>
      </w:r>
      <w:r w:rsidDel="00000000" w:rsidR="00000000" w:rsidRPr="00000000">
        <w:rPr>
          <w:rtl w:val="0"/>
        </w:rPr>
        <w:t xml:space="preserve"> Прогон базовых изображений (X) из датасета FFHQ через алгоритм MediaPipe Face Mesh. Извлечение 468 ключевых точек (landmarks) лица. Формирование бинарных масок для целевых зон: губ (Mlips​), кожи (Mskin​) и зон контуринга.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1.2. Экспертная система (Rule-Based Logic):</w:t>
      </w:r>
      <w:r w:rsidDel="00000000" w:rsidR="00000000" w:rsidRPr="00000000">
        <w:rPr>
          <w:rtl w:val="0"/>
        </w:rPr>
        <w:t xml:space="preserve"> Анализ базового цвета кожи в цветовом пространстве RGB для определения подтона (теплый/холодный). Программный выбор подходящих RGB-значений для макияжа на основе классической колористики и геометрии лица.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1.3. Блендинг и рендеринг (Target Generation):</w:t>
      </w:r>
      <w:r w:rsidDel="00000000" w:rsidR="00000000" w:rsidRPr="00000000">
        <w:rPr>
          <w:rtl w:val="0"/>
        </w:rPr>
        <w:t xml:space="preserve"> Заливка бинарных масок выбранными цветами. Использование фильтра Гаусса для растушевки границ и алгоритма Poisson Image Editing для бесшовной интеграции пигмента в текстуру кожи исходного лица.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1.4. Формирование обучающей выборки:</w:t>
      </w:r>
      <w:r w:rsidDel="00000000" w:rsidR="00000000" w:rsidRPr="00000000">
        <w:rPr>
          <w:rtl w:val="0"/>
        </w:rPr>
        <w:t xml:space="preserve"> Сохранение данных в структурированном виде, готовом для интеграции в класс Dataset библиотеки PyTorch. Каждому исходному изображению (X) ставится в соответствие сгенерированное целевое изображение (Y) и набор бинарных масок.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ew57mkeh7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Этап 2: Проектирование нейросетевой архитектуры (Architecture Changes)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основе проекта лежит кастомная генеративно-состязательная сеть (cGAN). Архитектура модифицирована для решения проблем классического переноса стиля (артефакты на фоне, окрашивание зубов/волос).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2snmg0kw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Многоканальный вход (Mask-Conditioned Input)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предоставления сети жестких пространственных подсказок изменяется размерность входного тензора генератора.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сверточный слой принимает тензор с размерностью каналов, равной 5 (вместо стандартных 3).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Входной тензор формируется путем конкатенации: Xinput​=XRGB​⊕Mlips​⊕Mskin​.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7etvcwxsp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Архитектура генератора (U-Net с AdaIN Bottleneck)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Генератор базируется на архитектуре U-Net с добавлением механизмов адаптивной нормализации.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Encoder (Кодер):</w:t>
      </w:r>
      <w:r w:rsidDel="00000000" w:rsidR="00000000" w:rsidRPr="00000000">
        <w:rPr>
          <w:rtl w:val="0"/>
        </w:rPr>
        <w:t xml:space="preserve"> Сверточные слои понижают пространственную размерность, извлекая семантические признаки лица.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AdaIN (Adaptive Instance Normalization):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Bottleneck (узкое горлышко сети) интегрируются слои AdaIN для контроля интенсивности макияжа. Адаптивная нормализация выравнивает статистику признаков исходного лица x под целевой стиль y:</w:t>
        <w:br w:type="textWrapping"/>
        <w:t xml:space="preserve">AdaIN(x,y)=σ(y)(σ(x)x−μ(x)​)+μ(y)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Decoder (Декодер):</w:t>
      </w:r>
      <w:r w:rsidDel="00000000" w:rsidR="00000000" w:rsidRPr="00000000">
        <w:rPr>
          <w:rtl w:val="0"/>
        </w:rPr>
        <w:t xml:space="preserve"> Восстанавливает изображение до исходного разрешения. Проброс связей (Skip-connections) сохраняет высокочастотные детали (текстуру кожи) от энкодера к декодеру.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t7149idoo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Архитектура дискриминатора (PatchGAN)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дискриминатора используется PatchGAN. Алгоритм оценивает реалистичность не всего изображения целиком, а локальных патчей (например, 70x70 пикселей). Это стимулирует генератор создавать детализированную микротекстуру кожи, а не только передавать общую цветовую гамму.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py5ca0ys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Этап 3: Обучение сети (Training Pipeline)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обучения модели оптимизирован под архитектуру NVIDIA с использованием тензорных ядер.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3.1. Функция потерь (Loss Functions):</w:t>
      </w:r>
      <w:r w:rsidDel="00000000" w:rsidR="00000000" w:rsidRPr="00000000">
        <w:rPr>
          <w:rtl w:val="0"/>
        </w:rPr>
        <w:t xml:space="preserve"> Обучение базируется на композитной функции потерь:</w:t>
        <w:br w:type="textWrapping"/>
        <w:t xml:space="preserve">Ltotal​=λ1​LcGAN​+λ2​LL1​+λ3​LPerceptual​</w:t>
        <w:br w:type="textWrapping"/>
        <w:t xml:space="preserve">Где LcGAN​ отвечает за реалистичность генерации, LL1​ — за пиксельную точность цветопередачи, а LPerceptual​ (вычисляемая через предобученную VGG-16) — за сохранение идентичности человека.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3.2. Смешанная точность (Mixed Precision):</w:t>
      </w:r>
      <w:r w:rsidDel="00000000" w:rsidR="00000000" w:rsidRPr="00000000">
        <w:rPr>
          <w:rtl w:val="0"/>
        </w:rPr>
        <w:t xml:space="preserve"> Использование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torch.cuda.amp</w:t>
      </w:r>
      <w:r w:rsidDel="00000000" w:rsidR="00000000" w:rsidRPr="00000000">
        <w:rPr>
          <w:rtl w:val="0"/>
        </w:rPr>
        <w:t xml:space="preserve"> для перевода части вычислений в формат FP16, что кратно ускоряет процесс обучения и экономит VRAM.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3.3. Трекинг экспериментов:</w:t>
      </w:r>
      <w:r w:rsidDel="00000000" w:rsidR="00000000" w:rsidRPr="00000000">
        <w:rPr>
          <w:rtl w:val="0"/>
        </w:rPr>
        <w:t xml:space="preserve"> Использование платформы Weights &amp; Biases (W&amp;B) для логирования метрик, графиков функции потерь и визуализации батчей в реальном времени.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1ik1rpwbu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Этап 4: Оценка модели и Инференс (Evaluation &amp; Inference)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этап включает валидацию полученных результатов и проверку научной новизны.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 Метрики качества:</w:t>
      </w:r>
      <w:r w:rsidDel="00000000" w:rsidR="00000000" w:rsidRPr="00000000">
        <w:rPr>
          <w:rtl w:val="0"/>
        </w:rPr>
        <w:t xml:space="preserve"> Количественная оценка с использованием Fréchet Inception Distance (FID) для проверки распределения сгенерированных изображений и L1 Loss для оценки точности переноса.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4.2. Ablation Study:</w:t>
      </w:r>
      <w:r w:rsidDel="00000000" w:rsidR="00000000" w:rsidRPr="00000000">
        <w:rPr>
          <w:rtl w:val="0"/>
        </w:rPr>
        <w:t xml:space="preserve"> Сравнительный анализ разработанной модели (с масками и AdaIN) с базовой реализацией U-Net (baseline) для доказательства эффективности предложенных архитектурных изменений.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4.3. Тестирование (Inference):</w:t>
      </w:r>
      <w:r w:rsidDel="00000000" w:rsidR="00000000" w:rsidRPr="00000000">
        <w:rPr>
          <w:rtl w:val="0"/>
        </w:rPr>
        <w:t xml:space="preserve"> Проверка устойчивости модели на тестовой выборке (out-of-distribution данные), включающей изображения с различными условиями освещения, ракурсами и оттенками кожи.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