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14213D"/>
          <w:sz w:val="64"/>
          <w:szCs w:val="64"/>
        </w:rPr>
        <w:t xml:space="preserve">Carbon Lab</w:t>
      </w:r>
    </w:p>
    <w:p>
      <w:pPr>
        <w:spacing w:after="200"/>
      </w:pPr>
      <w:r>
        <w:rPr>
          <w:rFonts w:ascii="Arial" w:cs="Arial" w:eastAsia="Arial" w:hAnsi="Arial"/>
          <w:color w:val="2F5BEA"/>
          <w:sz w:val="32"/>
          <w:szCs w:val="32"/>
        </w:rPr>
        <w:t xml:space="preserve">AI + Education hackathon: project plan</w:t>
      </w:r>
    </w:p>
    <w:p>
      <w:pPr>
        <w:spacing w:after="120" w:line="300"/>
      </w:pPr>
      <w:r>
        <w:rPr>
          <w:rFonts w:ascii="Arial" w:cs="Arial" w:eastAsia="Arial" w:hAnsi="Arial"/>
          <w:sz w:val="22"/>
          <w:szCs w:val="22"/>
        </w:rPr>
        <w:t xml:space="preserve">Reimagining how Grade 12 learners understand organic chemistry, through linked visualisation and curriculum-aligned teaching.</w:t>
      </w:r>
    </w:p>
    <w:p>
      <w:pPr>
        <w:spacing w:after="120" w:line="300"/>
      </w:pPr>
      <w:r>
        <w:rPr>
          <w:rFonts w:ascii="Arial" w:cs="Arial" w:eastAsia="Arial" w:hAnsi="Arial"/>
          <w:b/>
          <w:bCs/>
          <w:sz w:val="22"/>
          <w:szCs w:val="22"/>
        </w:rPr>
        <w:t xml:space="preserve">Subject: </w:t>
      </w:r>
      <w:r>
        <w:rPr>
          <w:rFonts w:ascii="Arial" w:cs="Arial" w:eastAsia="Arial" w:hAnsi="Arial"/>
          <w:sz w:val="22"/>
          <w:szCs w:val="22"/>
        </w:rPr>
        <w:t xml:space="preserve">Physical Sciences (CAPS), Grade 12, Chemistry: Organic molecules</w:t>
      </w:r>
    </w:p>
    <w:p>
      <w:pPr>
        <w:spacing w:after="120" w:line="300"/>
      </w:pPr>
      <w:r>
        <w:rPr>
          <w:rFonts w:ascii="Arial" w:cs="Arial" w:eastAsia="Arial" w:hAnsi="Arial"/>
          <w:b/>
          <w:bCs/>
          <w:sz w:val="22"/>
          <w:szCs w:val="22"/>
        </w:rPr>
        <w:t xml:space="preserve">Textbook basis: </w:t>
      </w:r>
      <w:r>
        <w:rPr>
          <w:rFonts w:ascii="Arial" w:cs="Arial" w:eastAsia="Arial" w:hAnsi="Arial"/>
          <w:sz w:val="22"/>
          <w:szCs w:val="22"/>
        </w:rPr>
        <w:t xml:space="preserve">Siyavula Physical Sciences Grade 12, Chapter 4</w:t>
      </w:r>
    </w:p>
    <w:p>
      <w:pPr>
        <w:spacing w:after="120" w:line="300"/>
      </w:pPr>
      <w:r>
        <w:rPr>
          <w:rFonts w:ascii="Arial" w:cs="Arial" w:eastAsia="Arial" w:hAnsi="Arial"/>
          <w:b/>
          <w:bCs/>
          <w:sz w:val="22"/>
          <w:szCs w:val="22"/>
        </w:rPr>
        <w:t xml:space="preserve">First lesson built: </w:t>
      </w:r>
      <w:r>
        <w:rPr>
          <w:rFonts w:ascii="Arial" w:cs="Arial" w:eastAsia="Arial" w:hAnsi="Arial"/>
          <w:sz w:val="22"/>
          <w:szCs w:val="22"/>
        </w:rPr>
        <w:t xml:space="preserve">Lesson 1, Carbon's four bonds (HTML/CSS/JS prototype, no AI yet)</w:t>
      </w:r>
    </w:p>
    <w:p>
      <w:pPr>
        <w:spacing w:after="120" w:line="300"/>
      </w:pPr>
      <w:r>
        <w:rPr>
          <w:rFonts w:ascii="Arial" w:cs="Arial" w:eastAsia="Arial" w:hAnsi="Arial"/>
          <w:b/>
          <w:bCs/>
          <w:sz w:val="22"/>
          <w:szCs w:val="22"/>
        </w:rPr>
        <w:t xml:space="preserve">Status: </w:t>
      </w:r>
      <w:r>
        <w:rPr>
          <w:rFonts w:ascii="Arial" w:cs="Arial" w:eastAsia="Arial" w:hAnsi="Arial"/>
          <w:sz w:val="22"/>
          <w:szCs w:val="22"/>
        </w:rPr>
        <w:t xml:space="preserve">Planning complete, Lesson 1 prototype ready, AI layer planned</w:t>
      </w:r>
    </w:p>
    <w:p>
      <w:pPr>
        <w:pStyle w:val="Heading1"/>
        <w:spacing w:after="140" w:before="320"/>
      </w:pPr>
      <w:r>
        <w:rPr>
          <w:rFonts w:ascii="Arial" w:cs="Arial" w:eastAsia="Arial" w:hAnsi="Arial"/>
          <w:b/>
          <w:bCs/>
          <w:color w:val="14213D"/>
          <w:sz w:val="32"/>
          <w:szCs w:val="32"/>
        </w:rPr>
        <w:t xml:space="preserve">1. Project summary</w:t>
      </w:r>
    </w:p>
    <w:p>
      <w:pPr>
        <w:spacing w:after="120" w:line="300"/>
      </w:pPr>
      <w:r>
        <w:rPr>
          <w:rFonts w:ascii="Arial" w:cs="Arial" w:eastAsia="Arial" w:hAnsi="Arial"/>
          <w:sz w:val="22"/>
          <w:szCs w:val="22"/>
        </w:rPr>
        <w:t xml:space="preserve">Learners tend to memorise organic chemistry rules (names, formulas, reactions) without seeing why they work. Carbon Lab replaces memorising with exploring. Every concept is taught through an interactive model that the learner predicts about, manipulates and observes, while the symbols (formulas and names) update live beside it. Later, an AI tutor will ask Socratic questions about whatever the learner has built.</w:t>
      </w:r>
    </w:p>
    <w:p>
      <w:pPr>
        <w:pStyle w:val="Heading2"/>
        <w:spacing w:after="100" w:before="220"/>
      </w:pPr>
      <w:r>
        <w:rPr>
          <w:rFonts w:ascii="Arial" w:cs="Arial" w:eastAsia="Arial" w:hAnsi="Arial"/>
          <w:b/>
          <w:bCs/>
          <w:color w:val="2F5BEA"/>
          <w:sz w:val="26"/>
          <w:szCs w:val="26"/>
        </w:rPr>
        <w:t xml:space="preserve">How it meets the hackathon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Requirement</w:t>
            </w:r>
          </w:p>
        </w:tc>
        <w:tc>
          <w:tcPr>
            <w:tcW w:type="dxa" w:w="636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How Carbon Lab meets it</w:t>
            </w:r>
          </w:p>
        </w:tc>
      </w:tr>
      <w:tr>
        <w:trPr>
          <w:tblHeader w:val="false"/>
        </w:trPr>
        <w:tc>
          <w:tcPr>
            <w:tcW w:type="dxa" w:w="30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Working AI-powered project</w:t>
            </w:r>
          </w:p>
        </w:tc>
        <w:tc>
          <w:tcPr>
            <w:tcW w:type="dxa" w:w="63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Web prototype now; Claude-powered tutor, misconception detection and question generation planned on top (Section 8).</w:t>
            </w:r>
          </w:p>
        </w:tc>
      </w:tr>
      <w:tr>
        <w:trPr>
          <w:tblHeader w:val="false"/>
        </w:trPr>
        <w:tc>
          <w:tcPr>
            <w:tcW w:type="dxa" w:w="30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Real-world problem, official track</w:t>
            </w:r>
          </w:p>
        </w:tc>
        <w:tc>
          <w:tcPr>
            <w:tcW w:type="dxa" w:w="63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AI + Education: helping learners move beyond memorisation to understand, connect and apply concepts.</w:t>
            </w:r>
          </w:p>
        </w:tc>
      </w:tr>
      <w:tr>
        <w:trPr>
          <w:tblHeader w:val="false"/>
        </w:trPr>
        <w:tc>
          <w:tcPr>
            <w:tcW w:type="dxa" w:w="30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Clear use of AI/ML</w:t>
            </w:r>
          </w:p>
        </w:tc>
        <w:tc>
          <w:tcPr>
            <w:tcW w:type="dxa" w:w="63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LLM tutor reading the learner's live molecule, adaptive mastery model, generated transfer questions, optional photo-to-structure recognition.</w:t>
            </w:r>
          </w:p>
        </w:tc>
      </w:tr>
      <w:tr>
        <w:trPr>
          <w:tblHeader w:val="false"/>
        </w:trPr>
        <w:tc>
          <w:tcPr>
            <w:tcW w:type="dxa" w:w="30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Tangible value</w:t>
            </w:r>
          </w:p>
        </w:tc>
        <w:tc>
          <w:tcPr>
            <w:tcW w:type="dxa" w:w="63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Grade 12 learners, including those without lab kits or model kits, get 3D models and virtual experiments free in a browser.</w:t>
            </w:r>
          </w:p>
        </w:tc>
      </w:tr>
    </w:tbl>
    <w:p>
      <w:pPr>
        <w:pStyle w:val="Heading1"/>
        <w:spacing w:after="140" w:before="320"/>
      </w:pPr>
      <w:r>
        <w:rPr>
          <w:rFonts w:ascii="Arial" w:cs="Arial" w:eastAsia="Arial" w:hAnsi="Arial"/>
          <w:b/>
          <w:bCs/>
          <w:color w:val="14213D"/>
          <w:sz w:val="32"/>
          <w:szCs w:val="32"/>
        </w:rPr>
        <w:t xml:space="preserve">2. Curriculum basis (Siyavula Grade 12, Chapter 4)</w:t>
      </w:r>
    </w:p>
    <w:p>
      <w:pPr>
        <w:spacing w:after="120" w:line="300"/>
      </w:pPr>
      <w:r>
        <w:rPr>
          <w:rFonts w:ascii="Arial" w:cs="Arial" w:eastAsia="Arial" w:hAnsi="Arial"/>
          <w:sz w:val="22"/>
          <w:szCs w:val="22"/>
        </w:rPr>
        <w:t xml:space="preserve">The content, order and scope follow the Siyavula Grade 12 Physical Sciences textbook, which is aligned to CAPS. Siyavula content is released under a Creative Commons Attribution licence, so it can be built on with clear credit (embedded external videos are not covered).</w:t>
      </w:r>
    </w:p>
    <w:p>
      <w:pPr>
        <w:pStyle w:val="Heading2"/>
        <w:spacing w:after="100" w:before="220"/>
      </w:pPr>
      <w:r>
        <w:rPr>
          <w:rFonts w:ascii="Arial" w:cs="Arial" w:eastAsia="Arial" w:hAnsi="Arial"/>
          <w:b/>
          <w:bCs/>
          <w:color w:val="2F5BEA"/>
          <w:sz w:val="26"/>
          <w:szCs w:val="26"/>
        </w:rPr>
        <w:t xml:space="preserve">What the textbook tells us</w:t>
      </w:r>
    </w:p>
    <w:p>
      <w:pPr>
        <w:pStyle w:val="ListParagraph"/>
        <w:numPr>
          <w:ilvl w:val="0"/>
          <w:numId w:val="2"/>
        </w:numPr>
        <w:spacing w:after="70" w:line="290"/>
      </w:pPr>
      <w:r>
        <w:rPr>
          <w:rFonts w:ascii="Arial" w:cs="Arial" w:eastAsia="Arial" w:hAnsi="Arial"/>
          <w:b/>
          <w:bCs/>
          <w:sz w:val="22"/>
          <w:szCs w:val="22"/>
        </w:rPr>
        <w:t xml:space="preserve">Position and time: </w:t>
      </w:r>
      <w:r>
        <w:rPr>
          <w:rFonts w:ascii="Arial" w:cs="Arial" w:eastAsia="Arial" w:hAnsi="Arial"/>
          <w:sz w:val="22"/>
          <w:szCs w:val="22"/>
        </w:rPr>
        <w:t xml:space="preserve">Organic molecules is the first chemistry chapter of the Grade 12 year, with only 12 hours allocated in CAPS, so learners have little time for a lot of content.</w:t>
      </w:r>
    </w:p>
    <w:p>
      <w:pPr>
        <w:pStyle w:val="ListParagraph"/>
        <w:numPr>
          <w:ilvl w:val="0"/>
          <w:numId w:val="2"/>
        </w:numPr>
        <w:spacing w:after="70" w:line="290"/>
      </w:pPr>
      <w:r>
        <w:rPr>
          <w:rFonts w:ascii="Arial" w:cs="Arial" w:eastAsia="Arial" w:hAnsi="Arial"/>
          <w:b/>
          <w:bCs/>
          <w:sz w:val="22"/>
          <w:szCs w:val="22"/>
        </w:rPr>
        <w:t xml:space="preserve">Three representations: </w:t>
      </w:r>
      <w:r>
        <w:rPr>
          <w:rFonts w:ascii="Arial" w:cs="Arial" w:eastAsia="Arial" w:hAnsi="Arial"/>
          <w:sz w:val="22"/>
          <w:szCs w:val="22"/>
        </w:rPr>
        <w:t xml:space="preserve">Emphasis should be placed on macroscopic, sub-microscopic and symbolic representations, and on the links between them. This is the backbone of the app.</w:t>
      </w:r>
    </w:p>
    <w:p>
      <w:pPr>
        <w:pStyle w:val="ListParagraph"/>
        <w:numPr>
          <w:ilvl w:val="0"/>
          <w:numId w:val="2"/>
        </w:numPr>
        <w:spacing w:after="70" w:line="290"/>
      </w:pPr>
      <w:r>
        <w:rPr>
          <w:rFonts w:ascii="Arial" w:cs="Arial" w:eastAsia="Arial" w:hAnsi="Arial"/>
          <w:b/>
          <w:bCs/>
          <w:sz w:val="22"/>
          <w:szCs w:val="22"/>
        </w:rPr>
        <w:t xml:space="preserve">3D matters: </w:t>
      </w:r>
      <w:r>
        <w:rPr>
          <w:rFonts w:ascii="Arial" w:cs="Arial" w:eastAsia="Arial" w:hAnsi="Arial"/>
          <w:sz w:val="22"/>
          <w:szCs w:val="22"/>
        </w:rPr>
        <w:t xml:space="preserve">Learners should understand molecules are not two-dimensional. Atomic model kits are recommended; our 3D viewer replaces them.</w:t>
      </w:r>
    </w:p>
    <w:p>
      <w:pPr>
        <w:pStyle w:val="ListParagraph"/>
        <w:numPr>
          <w:ilvl w:val="0"/>
          <w:numId w:val="2"/>
        </w:numPr>
        <w:spacing w:after="70" w:line="290"/>
      </w:pPr>
      <w:r>
        <w:rPr>
          <w:rFonts w:ascii="Arial" w:cs="Arial" w:eastAsia="Arial" w:hAnsi="Arial"/>
          <w:b/>
          <w:bCs/>
          <w:sz w:val="22"/>
          <w:szCs w:val="22"/>
        </w:rPr>
        <w:t xml:space="preserve">Prerequisites: </w:t>
      </w:r>
      <w:r>
        <w:rPr>
          <w:rFonts w:ascii="Arial" w:cs="Arial" w:eastAsia="Arial" w:hAnsi="Arial"/>
          <w:sz w:val="22"/>
          <w:szCs w:val="22"/>
        </w:rPr>
        <w:t xml:space="preserve">Grade 11 intermolecular forces, chemical bonds and molecular shape are assumed. These become the diagnostic and back-to-basics content.</w:t>
      </w:r>
    </w:p>
    <w:p>
      <w:pPr>
        <w:pStyle w:val="ListParagraph"/>
        <w:numPr>
          <w:ilvl w:val="0"/>
          <w:numId w:val="2"/>
        </w:numPr>
        <w:spacing w:after="70" w:line="290"/>
      </w:pPr>
      <w:r>
        <w:rPr>
          <w:rFonts w:ascii="Arial" w:cs="Arial" w:eastAsia="Arial" w:hAnsi="Arial"/>
          <w:b/>
          <w:bCs/>
          <w:sz w:val="22"/>
          <w:szCs w:val="22"/>
        </w:rPr>
        <w:t xml:space="preserve">Scope limits: </w:t>
      </w:r>
      <w:r>
        <w:rPr>
          <w:rFonts w:ascii="Arial" w:cs="Arial" w:eastAsia="Arial" w:hAnsi="Arial"/>
          <w:sz w:val="22"/>
          <w:szCs w:val="22"/>
        </w:rPr>
        <w:t xml:space="preserve">One type of functional group, no more than three of the same group, chains of up to eight carbons, esters without branching, and no reaction mechanisms (equations only). The app enforces these.</w:t>
      </w:r>
    </w:p>
    <w:p>
      <w:pPr>
        <w:pStyle w:val="ListParagraph"/>
        <w:numPr>
          <w:ilvl w:val="0"/>
          <w:numId w:val="2"/>
        </w:numPr>
        <w:spacing w:after="70" w:line="290"/>
      </w:pPr>
      <w:r>
        <w:rPr>
          <w:rFonts w:ascii="Arial" w:cs="Arial" w:eastAsia="Arial" w:hAnsi="Arial"/>
          <w:b/>
          <w:bCs/>
          <w:sz w:val="22"/>
          <w:szCs w:val="22"/>
        </w:rPr>
        <w:t xml:space="preserve">Section codes: </w:t>
      </w:r>
      <w:r>
        <w:rPr>
          <w:rFonts w:ascii="Arial" w:cs="Arial" w:eastAsia="Arial" w:hAnsi="Arial"/>
          <w:sz w:val="22"/>
          <w:szCs w:val="22"/>
        </w:rPr>
        <w:t xml:space="preserve">Siyavula tags topics ESCK3 to ESCKF. We reuse these as concept IDs so each lesson traces to the book.</w:t>
      </w:r>
    </w:p>
    <w:p>
      <w:pPr>
        <w:pStyle w:val="Heading2"/>
        <w:spacing w:after="100" w:before="220"/>
      </w:pPr>
      <w:r>
        <w:rPr>
          <w:rFonts w:ascii="Arial" w:cs="Arial" w:eastAsia="Arial" w:hAnsi="Arial"/>
          <w:b/>
          <w:bCs/>
          <w:color w:val="2F5BEA"/>
          <w:sz w:val="26"/>
          <w:szCs w:val="26"/>
        </w:rPr>
        <w:t xml:space="preserve">Chapter 4 content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160"/>
      </w:tblGrid>
      <w:tr>
        <w:trPr>
          <w:tblHeader/>
        </w:trPr>
        <w:tc>
          <w:tcPr>
            <w:tcW w:type="dxa" w:w="150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Section</w:t>
            </w:r>
          </w:p>
        </w:tc>
        <w:tc>
          <w:tcPr>
            <w:tcW w:type="dxa" w:w="370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Topic</w:t>
            </w:r>
          </w:p>
        </w:tc>
        <w:tc>
          <w:tcPr>
            <w:tcW w:type="dxa" w:w="416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Planned module</w:t>
            </w:r>
          </w:p>
        </w:tc>
      </w:tr>
      <w:tr>
        <w:trPr>
          <w:tblHeader w:val="false"/>
        </w:trPr>
        <w:tc>
          <w:tcPr>
            <w:tcW w:type="dxa" w:w="15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4.1 (ESCK3)</w:t>
            </w:r>
          </w:p>
        </w:tc>
        <w:tc>
          <w:tcPr>
            <w:tcW w:type="dxa" w:w="37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What are organic molecules?</w:t>
            </w:r>
          </w:p>
        </w:tc>
        <w:tc>
          <w:tcPr>
            <w:tcW w:type="dxa" w:w="41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Primer: what makes a molecule organic</w:t>
            </w:r>
          </w:p>
        </w:tc>
      </w:tr>
      <w:tr>
        <w:trPr>
          <w:tblHeader w:val="false"/>
        </w:trPr>
        <w:tc>
          <w:tcPr>
            <w:tcW w:type="dxa" w:w="15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4.2 (ESCK4 to ESCKF)</w:t>
            </w:r>
          </w:p>
        </w:tc>
        <w:tc>
          <w:tcPr>
            <w:tcW w:type="dxa" w:w="37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Organic molecular structures: carbon, representations, functional groups, saturated/unsaturated, hydrocarbons, alcohols, alkyl halides, carbonyl compounds, isomers</w:t>
            </w:r>
          </w:p>
        </w:tc>
        <w:tc>
          <w:tcPr>
            <w:tcW w:type="dxa" w:w="41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Module 1 (this project start): Lessons 1 to 5</w:t>
            </w:r>
          </w:p>
        </w:tc>
      </w:tr>
      <w:tr>
        <w:trPr>
          <w:tblHeader w:val="false"/>
        </w:trPr>
        <w:tc>
          <w:tcPr>
            <w:tcW w:type="dxa" w:w="15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4.3</w:t>
            </w:r>
          </w:p>
        </w:tc>
        <w:tc>
          <w:tcPr>
            <w:tcW w:type="dxa" w:w="37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IUPAC naming and formulae</w:t>
            </w:r>
          </w:p>
        </w:tc>
        <w:tc>
          <w:tcPr>
            <w:tcW w:type="dxa" w:w="41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Module 2: naming (name-to-structure builder)</w:t>
            </w:r>
          </w:p>
        </w:tc>
      </w:tr>
      <w:tr>
        <w:trPr>
          <w:tblHeader w:val="false"/>
        </w:trPr>
        <w:tc>
          <w:tcPr>
            <w:tcW w:type="dxa" w:w="15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4.4 to 4.6</w:t>
            </w:r>
          </w:p>
        </w:tc>
        <w:tc>
          <w:tcPr>
            <w:tcW w:type="dxa" w:w="37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Physical properties, applications, addition/elimination/substitution (order inferred from the chapter intro; verify)</w:t>
            </w:r>
          </w:p>
        </w:tc>
        <w:tc>
          <w:tcPr>
            <w:tcW w:type="dxa" w:w="41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Modules 3 to 5</w:t>
            </w:r>
          </w:p>
        </w:tc>
      </w:tr>
      <w:tr>
        <w:trPr>
          <w:tblHeader w:val="false"/>
        </w:trPr>
        <w:tc>
          <w:tcPr>
            <w:tcW w:type="dxa" w:w="15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4.7</w:t>
            </w:r>
          </w:p>
        </w:tc>
        <w:tc>
          <w:tcPr>
            <w:tcW w:type="dxa" w:w="37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Plastics and polymers (polyethene, polypropene, PVC, PVA, polystyrene, PET, PLA)</w:t>
            </w:r>
          </w:p>
        </w:tc>
        <w:tc>
          <w:tcPr>
            <w:tcW w:type="dxa" w:w="41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Module 6</w:t>
            </w:r>
          </w:p>
        </w:tc>
      </w:tr>
    </w:tbl>
    <w:p>
      <w:pPr>
        <w:pStyle w:val="Heading1"/>
        <w:spacing w:after="140" w:before="320"/>
      </w:pPr>
      <w:r>
        <w:rPr>
          <w:rFonts w:ascii="Arial" w:cs="Arial" w:eastAsia="Arial" w:hAnsi="Arial"/>
          <w:b/>
          <w:bCs/>
          <w:color w:val="14213D"/>
          <w:sz w:val="32"/>
          <w:szCs w:val="32"/>
        </w:rPr>
        <w:t xml:space="preserve">3. Core design principle</w:t>
      </w:r>
    </w:p>
    <w:p>
      <w:pPr>
        <w:spacing w:after="120" w:line="300"/>
      </w:pPr>
      <w:r>
        <w:rPr>
          <w:rFonts w:ascii="Arial" w:cs="Arial" w:eastAsia="Arial" w:hAnsi="Arial"/>
          <w:b/>
          <w:bCs/>
          <w:sz w:val="22"/>
          <w:szCs w:val="22"/>
        </w:rPr>
        <w:t xml:space="preserve">Every visual exists to answer a "why" question, and every "why" question is answered with a visual.</w:t>
      </w:r>
      <w:r>
        <w:rPr>
          <w:rFonts w:ascii="Arial" w:cs="Arial" w:eastAsia="Arial" w:hAnsi="Arial"/>
          <w:sz w:val="22"/>
          <w:szCs w:val="22"/>
        </w:rPr>
        <w:t xml:space="preserve"> Visualisation and understanding are one system, not two features.</w:t>
      </w:r>
    </w:p>
    <w:p>
      <w:pPr>
        <w:pStyle w:val="Heading2"/>
        <w:spacing w:after="100" w:before="220"/>
      </w:pPr>
      <w:r>
        <w:rPr>
          <w:rFonts w:ascii="Arial" w:cs="Arial" w:eastAsia="Arial" w:hAnsi="Arial"/>
          <w:b/>
          <w:bCs/>
          <w:color w:val="2F5BEA"/>
          <w:sz w:val="26"/>
          <w:szCs w:val="26"/>
        </w:rPr>
        <w:t xml:space="preserve">The learning loop used in every concept</w:t>
      </w:r>
    </w:p>
    <w:p>
      <w:pPr>
        <w:spacing w:after="120" w:line="300"/>
      </w:pPr>
      <w:r>
        <w:rPr>
          <w:rFonts w:ascii="Arial" w:cs="Arial" w:eastAsia="Arial" w:hAnsi="Arial"/>
          <w:sz w:val="22"/>
          <w:szCs w:val="22"/>
        </w:rPr>
        <w:t xml:space="preserve">Hook, Diagnose, Predict, Manipulate, Observe, Explain, Apply, Connect.</w:t>
      </w:r>
    </w:p>
    <w:p>
      <w:pPr>
        <w:pStyle w:val="ListParagraph"/>
        <w:numPr>
          <w:ilvl w:val="0"/>
          <w:numId w:val="2"/>
        </w:numPr>
        <w:spacing w:after="70" w:line="290"/>
      </w:pPr>
      <w:r>
        <w:rPr>
          <w:rFonts w:ascii="Arial" w:cs="Arial" w:eastAsia="Arial" w:hAnsi="Arial"/>
          <w:b/>
          <w:bCs/>
          <w:sz w:val="22"/>
          <w:szCs w:val="22"/>
        </w:rPr>
        <w:t xml:space="preserve">Predict </w:t>
      </w:r>
      <w:r>
        <w:rPr>
          <w:rFonts w:ascii="Arial" w:cs="Arial" w:eastAsia="Arial" w:hAnsi="Arial"/>
          <w:sz w:val="22"/>
          <w:szCs w:val="22"/>
        </w:rPr>
        <w:t xml:space="preserve">before the visual runs, so the learner commits to an idea.</w:t>
      </w:r>
    </w:p>
    <w:p>
      <w:pPr>
        <w:pStyle w:val="ListParagraph"/>
        <w:numPr>
          <w:ilvl w:val="0"/>
          <w:numId w:val="2"/>
        </w:numPr>
        <w:spacing w:after="70" w:line="290"/>
      </w:pPr>
      <w:r>
        <w:rPr>
          <w:rFonts w:ascii="Arial" w:cs="Arial" w:eastAsia="Arial" w:hAnsi="Arial"/>
          <w:b/>
          <w:bCs/>
          <w:sz w:val="22"/>
          <w:szCs w:val="22"/>
        </w:rPr>
        <w:t xml:space="preserve">Manipulate and observe </w:t>
      </w:r>
      <w:r>
        <w:rPr>
          <w:rFonts w:ascii="Arial" w:cs="Arial" w:eastAsia="Arial" w:hAnsi="Arial"/>
          <w:sz w:val="22"/>
          <w:szCs w:val="22"/>
        </w:rPr>
        <w:t xml:space="preserve">in a model that responds instantly and smoothly.</w:t>
      </w:r>
    </w:p>
    <w:p>
      <w:pPr>
        <w:pStyle w:val="ListParagraph"/>
        <w:numPr>
          <w:ilvl w:val="0"/>
          <w:numId w:val="2"/>
        </w:numPr>
        <w:spacing w:after="70" w:line="290"/>
      </w:pPr>
      <w:r>
        <w:rPr>
          <w:rFonts w:ascii="Arial" w:cs="Arial" w:eastAsia="Arial" w:hAnsi="Arial"/>
          <w:b/>
          <w:bCs/>
          <w:sz w:val="22"/>
          <w:szCs w:val="22"/>
        </w:rPr>
        <w:t xml:space="preserve">Explain and apply </w:t>
      </w:r>
      <w:r>
        <w:rPr>
          <w:rFonts w:ascii="Arial" w:cs="Arial" w:eastAsia="Arial" w:hAnsi="Arial"/>
          <w:sz w:val="22"/>
          <w:szCs w:val="22"/>
        </w:rPr>
        <w:t xml:space="preserve">on an unfamiliar molecule, so recall alone cannot succeed.</w:t>
      </w:r>
    </w:p>
    <w:p>
      <w:pPr>
        <w:pStyle w:val="ListParagraph"/>
        <w:numPr>
          <w:ilvl w:val="0"/>
          <w:numId w:val="2"/>
        </w:numPr>
        <w:spacing w:after="70" w:line="290"/>
      </w:pPr>
      <w:r>
        <w:rPr>
          <w:rFonts w:ascii="Arial" w:cs="Arial" w:eastAsia="Arial" w:hAnsi="Arial"/>
          <w:b/>
          <w:bCs/>
          <w:sz w:val="22"/>
          <w:szCs w:val="22"/>
        </w:rPr>
        <w:t xml:space="preserve">Connect </w:t>
      </w:r>
      <w:r>
        <w:rPr>
          <w:rFonts w:ascii="Arial" w:cs="Arial" w:eastAsia="Arial" w:hAnsi="Arial"/>
          <w:sz w:val="22"/>
          <w:szCs w:val="22"/>
        </w:rPr>
        <w:t xml:space="preserve">to the next concept so a map of understanding grows.</w:t>
      </w:r>
    </w:p>
    <w:p>
      <w:pPr>
        <w:pStyle w:val="Heading2"/>
        <w:spacing w:after="100" w:before="220"/>
      </w:pPr>
      <w:r>
        <w:rPr>
          <w:rFonts w:ascii="Arial" w:cs="Arial" w:eastAsia="Arial" w:hAnsi="Arial"/>
          <w:b/>
          <w:bCs/>
          <w:color w:val="2F5BEA"/>
          <w:sz w:val="26"/>
          <w:szCs w:val="26"/>
        </w:rPr>
        <w:t xml:space="preserve">Visual clarity and fluency rules</w:t>
      </w:r>
    </w:p>
    <w:p>
      <w:pPr>
        <w:pStyle w:val="ListParagraph"/>
        <w:numPr>
          <w:ilvl w:val="0"/>
          <w:numId w:val="2"/>
        </w:numPr>
        <w:spacing w:after="70" w:line="290"/>
      </w:pPr>
      <w:r>
        <w:rPr>
          <w:rFonts w:ascii="Arial" w:cs="Arial" w:eastAsia="Arial" w:hAnsi="Arial"/>
          <w:sz w:val="22"/>
          <w:szCs w:val="22"/>
        </w:rPr>
        <w:t xml:space="preserve">Consistent colour coding: carbon dark navy, hydrogen pale blue, electrons gold, accent blue for focus.</w:t>
      </w:r>
    </w:p>
    <w:p>
      <w:pPr>
        <w:pStyle w:val="ListParagraph"/>
        <w:numPr>
          <w:ilvl w:val="0"/>
          <w:numId w:val="2"/>
        </w:numPr>
        <w:spacing w:after="70" w:line="290"/>
      </w:pPr>
      <w:r>
        <w:rPr>
          <w:rFonts w:ascii="Arial" w:cs="Arial" w:eastAsia="Arial" w:hAnsi="Arial"/>
          <w:sz w:val="22"/>
          <w:szCs w:val="22"/>
        </w:rPr>
        <w:t xml:space="preserve">Show only what matters at each step; reveal detail in layers (balls and bonds, then hydrogens, then formal notation).</w:t>
      </w:r>
    </w:p>
    <w:p>
      <w:pPr>
        <w:pStyle w:val="ListParagraph"/>
        <w:numPr>
          <w:ilvl w:val="0"/>
          <w:numId w:val="2"/>
        </w:numPr>
        <w:spacing w:after="70" w:line="290"/>
      </w:pPr>
      <w:r>
        <w:rPr>
          <w:rFonts w:ascii="Arial" w:cs="Arial" w:eastAsia="Arial" w:hAnsi="Arial"/>
          <w:sz w:val="22"/>
          <w:szCs w:val="22"/>
        </w:rPr>
        <w:t xml:space="preserve">Linked representations: structural, condensed, molecular formula and 3D update together.</w:t>
      </w:r>
    </w:p>
    <w:p>
      <w:pPr>
        <w:pStyle w:val="ListParagraph"/>
        <w:numPr>
          <w:ilvl w:val="0"/>
          <w:numId w:val="2"/>
        </w:numPr>
        <w:spacing w:after="70" w:line="290"/>
      </w:pPr>
      <w:r>
        <w:rPr>
          <w:rFonts w:ascii="Arial" w:cs="Arial" w:eastAsia="Arial" w:hAnsi="Arial"/>
          <w:sz w:val="22"/>
          <w:szCs w:val="22"/>
        </w:rPr>
        <w:t xml:space="preserve">Smooth animated transitions, never jump cuts; feedback under about 100 ms on every drag or tap.</w:t>
      </w:r>
    </w:p>
    <w:p>
      <w:pPr>
        <w:pStyle w:val="ListParagraph"/>
        <w:numPr>
          <w:ilvl w:val="0"/>
          <w:numId w:val="2"/>
        </w:numPr>
        <w:spacing w:after="70" w:line="290"/>
      </w:pPr>
      <w:r>
        <w:rPr>
          <w:rFonts w:ascii="Arial" w:cs="Arial" w:eastAsia="Arial" w:hAnsi="Arial"/>
          <w:sz w:val="22"/>
          <w:szCs w:val="22"/>
        </w:rPr>
        <w:t xml:space="preserve">Link the molecular scale to the observable scale (for example, bromine water decolourising) so the learner connects what they see to what the atoms do.</w:t>
      </w:r>
    </w:p>
    <w:p>
      <w:pPr>
        <w:pStyle w:val="ListParagraph"/>
        <w:numPr>
          <w:ilvl w:val="0"/>
          <w:numId w:val="2"/>
        </w:numPr>
        <w:spacing w:after="70" w:line="290"/>
      </w:pPr>
      <w:r>
        <w:rPr>
          <w:rFonts w:ascii="Arial" w:cs="Arial" w:eastAsia="Arial" w:hAnsi="Arial"/>
          <w:sz w:val="22"/>
          <w:szCs w:val="22"/>
        </w:rPr>
        <w:t xml:space="preserve">Respect reduced-motion settings; large touch targets; works on phones.</w:t>
      </w:r>
    </w:p>
    <w:p>
      <w:pPr>
        <w:pStyle w:val="Heading1"/>
        <w:spacing w:after="140" w:before="320"/>
      </w:pPr>
      <w:r>
        <w:rPr>
          <w:rFonts w:ascii="Arial" w:cs="Arial" w:eastAsia="Arial" w:hAnsi="Arial"/>
          <w:b/>
          <w:bCs/>
          <w:color w:val="14213D"/>
          <w:sz w:val="32"/>
          <w:szCs w:val="32"/>
        </w:rPr>
        <w:t xml:space="preserve">4. Teaching someone with no prior experience</w:t>
      </w:r>
    </w:p>
    <w:p>
      <w:pPr>
        <w:pStyle w:val="ListParagraph"/>
        <w:numPr>
          <w:ilvl w:val="0"/>
          <w:numId w:val="2"/>
        </w:numPr>
        <w:spacing w:after="70" w:line="290"/>
      </w:pPr>
      <w:r>
        <w:rPr>
          <w:rFonts w:ascii="Arial" w:cs="Arial" w:eastAsia="Arial" w:hAnsi="Arial"/>
          <w:sz w:val="22"/>
          <w:szCs w:val="22"/>
        </w:rPr>
        <w:t xml:space="preserve">Diagnostic check on entry: two or three visual questions, not a test. If a prerequisite is shaky, drop back one rung first.</w:t>
      </w:r>
    </w:p>
    <w:p>
      <w:pPr>
        <w:pStyle w:val="ListParagraph"/>
        <w:numPr>
          <w:ilvl w:val="0"/>
          <w:numId w:val="2"/>
        </w:numPr>
        <w:spacing w:after="70" w:line="290"/>
      </w:pPr>
      <w:r>
        <w:rPr>
          <w:rFonts w:ascii="Arial" w:cs="Arial" w:eastAsia="Arial" w:hAnsi="Arial"/>
          <w:sz w:val="22"/>
          <w:szCs w:val="22"/>
        </w:rPr>
        <w:t xml:space="preserve">Bridge from the familiar: start from something concrete, then move to notation.</w:t>
      </w:r>
    </w:p>
    <w:p>
      <w:pPr>
        <w:pStyle w:val="ListParagraph"/>
        <w:numPr>
          <w:ilvl w:val="0"/>
          <w:numId w:val="2"/>
        </w:numPr>
        <w:spacing w:after="70" w:line="290"/>
      </w:pPr>
      <w:r>
        <w:rPr>
          <w:rFonts w:ascii="Arial" w:cs="Arial" w:eastAsia="Arial" w:hAnsi="Arial"/>
          <w:sz w:val="22"/>
          <w:szCs w:val="22"/>
        </w:rPr>
        <w:t xml:space="preserve">Layers of detail: learners move up only when ready.</w:t>
      </w:r>
    </w:p>
    <w:p>
      <w:pPr>
        <w:pStyle w:val="ListParagraph"/>
        <w:numPr>
          <w:ilvl w:val="0"/>
          <w:numId w:val="2"/>
        </w:numPr>
        <w:spacing w:after="70" w:line="290"/>
      </w:pPr>
      <w:r>
        <w:rPr>
          <w:rFonts w:ascii="Arial" w:cs="Arial" w:eastAsia="Arial" w:hAnsi="Arial"/>
          <w:sz w:val="22"/>
          <w:szCs w:val="22"/>
        </w:rPr>
        <w:t xml:space="preserve">A "Back to basics" route on every screen that jumps to the prerequisite and returns.</w:t>
      </w:r>
    </w:p>
    <w:p>
      <w:pPr>
        <w:pStyle w:val="ListParagraph"/>
        <w:numPr>
          <w:ilvl w:val="0"/>
          <w:numId w:val="2"/>
        </w:numPr>
        <w:spacing w:after="70" w:line="290"/>
      </w:pPr>
      <w:r>
        <w:rPr>
          <w:rFonts w:ascii="Arial" w:cs="Arial" w:eastAsia="Arial" w:hAnsi="Arial"/>
          <w:sz w:val="22"/>
          <w:szCs w:val="22"/>
        </w:rPr>
        <w:t xml:space="preserve">Plain-language mode with glossary tooltips for technical terms (important for second-language learners).</w:t>
      </w:r>
    </w:p>
    <w:p>
      <w:pPr>
        <w:pStyle w:val="ListParagraph"/>
        <w:numPr>
          <w:ilvl w:val="0"/>
          <w:numId w:val="2"/>
        </w:numPr>
        <w:spacing w:after="70" w:line="290"/>
      </w:pPr>
      <w:r>
        <w:rPr>
          <w:rFonts w:ascii="Arial" w:cs="Arial" w:eastAsia="Arial" w:hAnsi="Arial"/>
          <w:sz w:val="22"/>
          <w:szCs w:val="22"/>
        </w:rPr>
        <w:t xml:space="preserve">Mastery is marked complete only after correct work on a novel molecule plus a sound explanation.</w:t>
      </w:r>
    </w:p>
    <w:p>
      <w:pPr>
        <w:pStyle w:val="Heading2"/>
        <w:spacing w:after="100" w:before="220"/>
      </w:pPr>
      <w:r>
        <w:rPr>
          <w:rFonts w:ascii="Arial" w:cs="Arial" w:eastAsia="Arial" w:hAnsi="Arial"/>
          <w:b/>
          <w:bCs/>
          <w:color w:val="2F5BEA"/>
          <w:sz w:val="26"/>
          <w:szCs w:val="26"/>
        </w:rPr>
        <w:t xml:space="preserve">Adaptation rules (learner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Signal</w:t>
            </w:r>
          </w:p>
        </w:tc>
        <w:tc>
          <w:tcPr>
            <w:tcW w:type="dxa" w:w="606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System response</w:t>
            </w:r>
          </w:p>
        </w:tc>
      </w:tr>
      <w:tr>
        <w:trPr>
          <w:tblHeader w:val="false"/>
        </w:trPr>
        <w:tc>
          <w:tcPr>
            <w:tcW w:type="dxa" w:w="33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Wrong prediction</w:t>
            </w:r>
          </w:p>
        </w:tc>
        <w:tc>
          <w:tcPr>
            <w:tcW w:type="dxa" w:w="60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Show the visual consequence, then ask a simpler question first</w:t>
            </w:r>
          </w:p>
        </w:tc>
      </w:tr>
      <w:tr>
        <w:trPr>
          <w:tblHeader w:val="false"/>
        </w:trPr>
        <w:tc>
          <w:tcPr>
            <w:tcW w:type="dxa" w:w="33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Right answer, weak explanation</w:t>
            </w:r>
          </w:p>
        </w:tc>
        <w:tc>
          <w:tcPr>
            <w:tcW w:type="dxa" w:w="60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Probe with a new molecule (possible memorising)</w:t>
            </w:r>
          </w:p>
        </w:tc>
      </w:tr>
      <w:tr>
        <w:trPr>
          <w:tblHeader w:val="false"/>
        </w:trPr>
        <w:tc>
          <w:tcPr>
            <w:tcW w:type="dxa" w:w="33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Repeated specific error</w:t>
            </w:r>
          </w:p>
        </w:tc>
        <w:tc>
          <w:tcPr>
            <w:tcW w:type="dxa" w:w="60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Targeted mini-lesson on that misconception</w:t>
            </w:r>
          </w:p>
        </w:tc>
      </w:tr>
      <w:tr>
        <w:trPr>
          <w:tblHeader w:val="false"/>
        </w:trPr>
        <w:tc>
          <w:tcPr>
            <w:tcW w:type="dxa" w:w="33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Fast and confident</w:t>
            </w:r>
          </w:p>
        </w:tc>
        <w:tc>
          <w:tcPr>
            <w:tcW w:type="dxa" w:w="60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Skip ahead and offer an unfamiliar-molecule challenge</w:t>
            </w:r>
          </w:p>
        </w:tc>
      </w:tr>
      <w:tr>
        <w:trPr>
          <w:tblHeader w:val="false"/>
        </w:trPr>
        <w:tc>
          <w:tcPr>
            <w:tcW w:type="dxa" w:w="33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Long hesitation</w:t>
            </w:r>
          </w:p>
        </w:tc>
        <w:tc>
          <w:tcPr>
            <w:tcW w:type="dxa" w:w="60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Offer a hint or simpler case, never the answer outright</w:t>
            </w:r>
          </w:p>
        </w:tc>
      </w:tr>
    </w:tbl>
    <w:p>
      <w:pPr>
        <w:pStyle w:val="Heading1"/>
        <w:spacing w:after="140" w:before="320"/>
      </w:pPr>
      <w:r>
        <w:rPr>
          <w:rFonts w:ascii="Arial" w:cs="Arial" w:eastAsia="Arial" w:hAnsi="Arial"/>
          <w:b/>
          <w:bCs/>
          <w:color w:val="14213D"/>
          <w:sz w:val="32"/>
          <w:szCs w:val="32"/>
        </w:rPr>
        <w:t xml:space="preserve">5. Module 1 lesson sequence (Siyavula 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560"/>
      </w:tblGrid>
      <w:tr>
        <w:trPr>
          <w:tblHeader/>
        </w:trPr>
        <w:tc>
          <w:tcPr>
            <w:tcW w:type="dxa" w:w="150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Lesson</w:t>
            </w:r>
          </w:p>
        </w:tc>
        <w:tc>
          <w:tcPr>
            <w:tcW w:type="dxa" w:w="330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What the learner discovers</w:t>
            </w:r>
          </w:p>
        </w:tc>
        <w:tc>
          <w:tcPr>
            <w:tcW w:type="dxa" w:w="456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Visual and understanding</w:t>
            </w:r>
          </w:p>
        </w:tc>
      </w:tr>
      <w:tr>
        <w:trPr>
          <w:tblHeader w:val="false"/>
        </w:trPr>
        <w:tc>
          <w:tcPr>
            <w:tcW w:type="dxa" w:w="15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0. Primer</w:t>
            </w:r>
          </w:p>
        </w:tc>
        <w:tc>
          <w:tcPr>
            <w:tcW w:type="dxa" w:w="33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Covalent bonds and valence electrons (Grade 11 bridge)</w:t>
            </w:r>
          </w:p>
        </w:tc>
        <w:tc>
          <w:tcPr>
            <w:tcW w:type="dxa" w:w="45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Lewis dots; bonds as shared electrons</w:t>
            </w:r>
          </w:p>
        </w:tc>
      </w:tr>
      <w:tr>
        <w:trPr>
          <w:tblHeader w:val="false"/>
        </w:trPr>
        <w:tc>
          <w:tcPr>
            <w:tcW w:type="dxa" w:w="15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1. Carbon's four bonds</w:t>
            </w:r>
          </w:p>
        </w:tc>
        <w:tc>
          <w:tcPr>
            <w:tcW w:type="dxa" w:w="33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Carbon has 4 valence electrons, so it forms 4 bonds; it can bond to carbon in chains</w:t>
            </w:r>
          </w:p>
        </w:tc>
        <w:tc>
          <w:tcPr>
            <w:tcW w:type="dxa" w:w="45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Drag hydrogens onto carbon, 3D tetrahedron, chain builder (BUILT)</w:t>
            </w:r>
          </w:p>
        </w:tc>
      </w:tr>
      <w:tr>
        <w:trPr>
          <w:tblHeader w:val="false"/>
        </w:trPr>
        <w:tc>
          <w:tcPr>
            <w:tcW w:type="dxa" w:w="15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2. Four ways to see one molecule</w:t>
            </w:r>
          </w:p>
        </w:tc>
        <w:tc>
          <w:tcPr>
            <w:tcW w:type="dxa" w:w="33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Structural, semi-structural, condensed and molecular formulae describe the same molecule</w:t>
            </w:r>
          </w:p>
        </w:tc>
        <w:tc>
          <w:tcPr>
            <w:tcW w:type="dxa" w:w="45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Linked views plus rotating 3D butane</w:t>
            </w:r>
          </w:p>
        </w:tc>
      </w:tr>
      <w:tr>
        <w:trPr>
          <w:tblHeader w:val="false"/>
        </w:trPr>
        <w:tc>
          <w:tcPr>
            <w:tcW w:type="dxa" w:w="15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3. Hydrocarbon families</w:t>
            </w:r>
          </w:p>
        </w:tc>
        <w:tc>
          <w:tcPr>
            <w:tcW w:type="dxa" w:w="33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Alkanes, alkenes, alkynes: CnH2n+2, CnH2n, CnH2n-2</w:t>
            </w:r>
          </w:p>
        </w:tc>
        <w:tc>
          <w:tcPr>
            <w:tcW w:type="dxa" w:w="45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Add carbons, count H, derive the pattern before seeing the formula</w:t>
            </w:r>
          </w:p>
        </w:tc>
      </w:tr>
      <w:tr>
        <w:trPr>
          <w:tblHeader w:val="false"/>
        </w:trPr>
        <w:tc>
          <w:tcPr>
            <w:tcW w:type="dxa" w:w="15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4. Saturated vs unsaturated</w:t>
            </w:r>
          </w:p>
        </w:tc>
        <w:tc>
          <w:tcPr>
            <w:tcW w:type="dxa" w:w="33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Unsaturated compounds can add atoms because a bond can break</w:t>
            </w:r>
          </w:p>
        </w:tc>
        <w:tc>
          <w:tcPr>
            <w:tcW w:type="dxa" w:w="45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Bond-breaking animation; virtual bromine water lab</w:t>
            </w:r>
          </w:p>
        </w:tc>
      </w:tr>
      <w:tr>
        <w:trPr>
          <w:tblHeader w:val="false"/>
        </w:trPr>
        <w:tc>
          <w:tcPr>
            <w:tcW w:type="dxa" w:w="15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5. Isomers and branching</w:t>
            </w:r>
          </w:p>
        </w:tc>
        <w:tc>
          <w:tcPr>
            <w:tcW w:type="dxa" w:w="33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Same molecular formula, different structure (butane vs 2-methylpropane)</w:t>
            </w:r>
          </w:p>
        </w:tc>
        <w:tc>
          <w:tcPr>
            <w:tcW w:type="dxa" w:w="45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Rearrange C4H10 into two valid molecules</w:t>
            </w:r>
          </w:p>
        </w:tc>
      </w:tr>
    </w:tbl>
    <w:p>
      <w:pPr>
        <w:spacing w:after="80"/>
      </w:pPr>
    </w:p>
    <w:p>
      <w:pPr>
        <w:spacing w:after="120" w:line="300"/>
      </w:pPr>
      <w:r>
        <w:rPr>
          <w:rFonts w:ascii="Arial" w:cs="Arial" w:eastAsia="Arial" w:hAnsi="Arial"/>
          <w:b/>
          <w:bCs/>
          <w:sz w:val="22"/>
          <w:szCs w:val="22"/>
        </w:rPr>
        <w:t xml:space="preserve">Notation note: </w:t>
      </w:r>
      <w:r>
        <w:rPr>
          <w:rFonts w:ascii="Arial" w:cs="Arial" w:eastAsia="Arial" w:hAnsi="Arial"/>
          <w:sz w:val="22"/>
          <w:szCs w:val="22"/>
        </w:rPr>
        <w:t xml:space="preserve">Siyavula writes condensed formulae without double-bond symbols (for example CH3CHCHCH3). The prototype follows this convention so it matches class and exams, with an optional "show bond types" aid planned for beginners.</w:t>
      </w:r>
    </w:p>
    <w:p>
      <w:pPr>
        <w:spacing w:after="120" w:line="300"/>
      </w:pPr>
      <w:r>
        <w:rPr>
          <w:rFonts w:ascii="Arial" w:cs="Arial" w:eastAsia="Arial" w:hAnsi="Arial"/>
          <w:b/>
          <w:bCs/>
          <w:sz w:val="22"/>
          <w:szCs w:val="22"/>
        </w:rPr>
        <w:t xml:space="preserve">Real-world hooks from the book: </w:t>
      </w:r>
      <w:r>
        <w:rPr>
          <w:rFonts w:ascii="Arial" w:cs="Arial" w:eastAsia="Arial" w:hAnsi="Arial"/>
          <w:sz w:val="22"/>
          <w:szCs w:val="22"/>
        </w:rPr>
        <w:t xml:space="preserve">ethene ripening bananas, ethyne in welding, propene making polypropylene, butane lighters, and the propanone/propanal isomer table.</w:t>
      </w:r>
    </w:p>
    <w:p>
      <w:pPr>
        <w:pStyle w:val="Heading1"/>
        <w:spacing w:after="140" w:before="320"/>
      </w:pPr>
      <w:r>
        <w:rPr>
          <w:rFonts w:ascii="Arial" w:cs="Arial" w:eastAsia="Arial" w:hAnsi="Arial"/>
          <w:b/>
          <w:bCs/>
          <w:color w:val="14213D"/>
          <w:sz w:val="32"/>
          <w:szCs w:val="32"/>
        </w:rPr>
        <w:t xml:space="preserve">6. Lesson 1 specification: Carbon's four bonds</w:t>
      </w:r>
    </w:p>
    <w:p>
      <w:pPr>
        <w:spacing w:after="120" w:line="300"/>
      </w:pPr>
      <w:r>
        <w:rPr>
          <w:rFonts w:ascii="Arial" w:cs="Arial" w:eastAsia="Arial" w:hAnsi="Arial"/>
          <w:b/>
          <w:bCs/>
          <w:sz w:val="22"/>
          <w:szCs w:val="22"/>
        </w:rPr>
        <w:t xml:space="preserve">Syllabus link: </w:t>
      </w:r>
      <w:r>
        <w:rPr>
          <w:rFonts w:ascii="Arial" w:cs="Arial" w:eastAsia="Arial" w:hAnsi="Arial"/>
          <w:sz w:val="22"/>
          <w:szCs w:val="22"/>
        </w:rPr>
        <w:t xml:space="preserve">ESCK5 (special properties of carbon) and ESCK6 (representing organic molecules).</w:t>
      </w:r>
    </w:p>
    <w:p>
      <w:pPr>
        <w:spacing w:after="120" w:line="300"/>
      </w:pPr>
      <w:r>
        <w:rPr>
          <w:rFonts w:ascii="Arial" w:cs="Arial" w:eastAsia="Arial" w:hAnsi="Arial"/>
          <w:b/>
          <w:bCs/>
          <w:sz w:val="22"/>
          <w:szCs w:val="22"/>
        </w:rPr>
        <w:t xml:space="preserve">Learning outcomes: </w:t>
      </w:r>
      <w:r>
        <w:rPr>
          <w:rFonts w:ascii="Arial" w:cs="Arial" w:eastAsia="Arial" w:hAnsi="Arial"/>
          <w:sz w:val="22"/>
          <w:szCs w:val="22"/>
        </w:rPr>
        <w:t xml:space="preserve">(1) State that carbon has four valence electrons. (2) Explain that a covalent bond is a shared pair of electrons. (3) Explain why carbon forms four bonds in total. (4) Show that carbon can bond to hydrogen and to other carbons in single, double and triple bonds. (5) Predict hydrogens needed for a carbon with a given set of bonds.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3860"/>
      </w:tblGrid>
      <w:tr>
        <w:trPr>
          <w:tblHeader/>
        </w:trPr>
        <w:tc>
          <w:tcPr>
            <w:tcW w:type="dxa" w:w="170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Step</w:t>
            </w:r>
          </w:p>
        </w:tc>
        <w:tc>
          <w:tcPr>
            <w:tcW w:type="dxa" w:w="380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Interaction</w:t>
            </w:r>
          </w:p>
        </w:tc>
        <w:tc>
          <w:tcPr>
            <w:tcW w:type="dxa" w:w="386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Why it builds understanding</w:t>
            </w:r>
          </w:p>
        </w:tc>
      </w:tr>
      <w:tr>
        <w:trPr>
          <w:tblHeader w:val="false"/>
        </w:trPr>
        <w:tc>
          <w:tcPr>
            <w:tcW w:type="dxa" w:w="17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1. Meet carbon</w:t>
            </w:r>
          </w:p>
        </w:tc>
        <w:tc>
          <w:tcPr>
            <w:tcW w:type="dxa" w:w="38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Animated atom model; highlight the 4 valence electrons; matching Lewis dot symbol</w:t>
            </w:r>
          </w:p>
        </w:tc>
        <w:tc>
          <w:tcPr>
            <w:tcW w:type="dxa" w:w="38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Links the atom (sub-microscopic) to the symbol (symbolic)</w:t>
            </w:r>
          </w:p>
        </w:tc>
      </w:tr>
      <w:tr>
        <w:trPr>
          <w:tblHeader w:val="false"/>
        </w:trPr>
        <w:tc>
          <w:tcPr>
            <w:tcW w:type="dxa" w:w="17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2. Share electrons</w:t>
            </w:r>
          </w:p>
        </w:tc>
        <w:tc>
          <w:tcPr>
            <w:tcW w:type="dxa" w:w="38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Predict first (2, 3, 4 or 6 hydrogens). Drag hydrogens onto four bond sites; each bond shows a shared electron pair; progress ring fills; a fifth hydrogen is refused. Then view methane in 3D, rotatable.</w:t>
            </w:r>
          </w:p>
        </w:tc>
        <w:tc>
          <w:tcPr>
            <w:tcW w:type="dxa" w:w="38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Prediction exposes the idea; the refused fifth bond makes the rule memorable; 3D shows molecules are not flat</w:t>
            </w:r>
          </w:p>
        </w:tc>
      </w:tr>
      <w:tr>
        <w:trPr>
          <w:tblHeader w:val="false"/>
        </w:trPr>
        <w:tc>
          <w:tcPr>
            <w:tcW w:type="dxa" w:w="17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3. Build chains</w:t>
            </w:r>
          </w:p>
        </w:tc>
        <w:tc>
          <w:tcPr>
            <w:tcW w:type="dxa" w:w="38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Add or remove carbons (up to 8); tap a bond to cycle single/double/triple; hydrogens move or disappear smoothly; tap a carbon to see its bond count; live molecular and condensed formula and family</w:t>
            </w:r>
          </w:p>
        </w:tc>
        <w:tc>
          <w:tcPr>
            <w:tcW w:type="dxa" w:w="38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Learner discovers that every carbon always has 4 bonds and that hydrogen fills the rest, which sets up saturated/unsaturated</w:t>
            </w:r>
          </w:p>
        </w:tc>
      </w:tr>
      <w:tr>
        <w:trPr>
          <w:tblHeader w:val="false"/>
        </w:trPr>
        <w:tc>
          <w:tcPr>
            <w:tcW w:type="dxa" w:w="17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4. Check yourself</w:t>
            </w:r>
          </w:p>
        </w:tc>
        <w:tc>
          <w:tcPr>
            <w:tcW w:type="dxa" w:w="38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Four randomised questions: how many hydrogens does this carbon need? Hints scaffold the counting; answer reveals the hydrogens; summary of key ideas</w:t>
            </w:r>
          </w:p>
        </w:tc>
        <w:tc>
          <w:tcPr>
            <w:tcW w:type="dxa" w:w="38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Applies the rule to carbons not seen before (transfer)</w:t>
            </w:r>
          </w:p>
        </w:tc>
      </w:tr>
    </w:tbl>
    <w:p>
      <w:pPr>
        <w:spacing w:after="80"/>
      </w:pPr>
    </w:p>
    <w:p>
      <w:pPr>
        <w:spacing w:after="120" w:line="300"/>
      </w:pPr>
      <w:r>
        <w:rPr>
          <w:rFonts w:ascii="Arial" w:cs="Arial" w:eastAsia="Arial" w:hAnsi="Arial"/>
          <w:b/>
          <w:bCs/>
          <w:sz w:val="22"/>
          <w:szCs w:val="22"/>
        </w:rPr>
        <w:t xml:space="preserve">Technical notes: </w:t>
      </w:r>
      <w:r>
        <w:rPr>
          <w:rFonts w:ascii="Arial" w:cs="Arial" w:eastAsia="Arial" w:hAnsi="Arial"/>
          <w:sz w:val="22"/>
          <w:szCs w:val="22"/>
        </w:rPr>
        <w:t xml:space="preserve">Single HTML file with inline CSS and JS, no dependencies. SVG graphics with CSS transitions; pointer events for drag (mouse and touch); a small projection routine for the 3D tetrahedron. The 3D view uses a tetrahedral bond angle of about 109.5 degrees.</w:t>
      </w:r>
    </w:p>
    <w:p>
      <w:pPr>
        <w:spacing w:after="120" w:line="300"/>
      </w:pPr>
      <w:r>
        <w:rPr>
          <w:rFonts w:ascii="Arial" w:cs="Arial" w:eastAsia="Arial" w:hAnsi="Arial"/>
          <w:b/>
          <w:bCs/>
          <w:sz w:val="22"/>
          <w:szCs w:val="22"/>
        </w:rPr>
        <w:t xml:space="preserve">Known prototype limits: </w:t>
      </w:r>
      <w:r>
        <w:rPr>
          <w:rFonts w:ascii="Arial" w:cs="Arial" w:eastAsia="Arial" w:hAnsi="Arial"/>
          <w:sz w:val="22"/>
          <w:szCs w:val="22"/>
        </w:rPr>
        <w:t xml:space="preserve">Not yet tested with real learners; no saving of progress; alkyne chains are drawn zig-zag rather than linear; keyboard-only play is limited. These are on the backlog.</w:t>
      </w:r>
    </w:p>
    <w:p>
      <w:pPr>
        <w:pStyle w:val="Heading1"/>
        <w:spacing w:after="140" w:before="320"/>
      </w:pPr>
      <w:r>
        <w:rPr>
          <w:rFonts w:ascii="Arial" w:cs="Arial" w:eastAsia="Arial" w:hAnsi="Arial"/>
          <w:b/>
          <w:bCs/>
          <w:color w:val="14213D"/>
          <w:sz w:val="32"/>
          <w:szCs w:val="32"/>
        </w:rPr>
        <w:t xml:space="preserve">7. Web-first, app later</w:t>
      </w:r>
    </w:p>
    <w:p>
      <w:pPr>
        <w:pStyle w:val="ListParagraph"/>
        <w:numPr>
          <w:ilvl w:val="0"/>
          <w:numId w:val="2"/>
        </w:numPr>
        <w:spacing w:after="70" w:line="290"/>
      </w:pPr>
      <w:r>
        <w:rPr>
          <w:rFonts w:ascii="Arial" w:cs="Arial" w:eastAsia="Arial" w:hAnsi="Arial"/>
          <w:sz w:val="22"/>
          <w:szCs w:val="22"/>
        </w:rPr>
        <w:t xml:space="preserve">Build as a responsive web app now (HTML, CSS, JS), designed mobile-first with touch-friendly drag.</w:t>
      </w:r>
    </w:p>
    <w:p>
      <w:pPr>
        <w:pStyle w:val="ListParagraph"/>
        <w:numPr>
          <w:ilvl w:val="0"/>
          <w:numId w:val="2"/>
        </w:numPr>
        <w:spacing w:after="70" w:line="290"/>
      </w:pPr>
      <w:r>
        <w:rPr>
          <w:rFonts w:ascii="Arial" w:cs="Arial" w:eastAsia="Arial" w:hAnsi="Arial"/>
          <w:sz w:val="22"/>
          <w:szCs w:val="22"/>
        </w:rPr>
        <w:t xml:space="preserve">Convert to a PWA: installable on phones, cached lessons work offline, low data use (SVG instead of video).</w:t>
      </w:r>
    </w:p>
    <w:p>
      <w:pPr>
        <w:pStyle w:val="ListParagraph"/>
        <w:numPr>
          <w:ilvl w:val="0"/>
          <w:numId w:val="2"/>
        </w:numPr>
        <w:spacing w:after="70" w:line="290"/>
      </w:pPr>
      <w:r>
        <w:rPr>
          <w:rFonts w:ascii="Arial" w:cs="Arial" w:eastAsia="Arial" w:hAnsi="Arial"/>
          <w:sz w:val="22"/>
          <w:szCs w:val="22"/>
        </w:rPr>
        <w:t xml:space="preserve">Keep curriculum data in JSON and logic separate from the interface so it can be reused in a wrapped native app (Capacitor or React Native).</w:t>
      </w:r>
    </w:p>
    <w:p>
      <w:pPr>
        <w:pStyle w:val="ListParagraph"/>
        <w:numPr>
          <w:ilvl w:val="0"/>
          <w:numId w:val="2"/>
        </w:numPr>
        <w:spacing w:after="70" w:line="290"/>
      </w:pPr>
      <w:r>
        <w:rPr>
          <w:rFonts w:ascii="Arial" w:cs="Arial" w:eastAsia="Arial" w:hAnsi="Arial"/>
          <w:sz w:val="22"/>
          <w:szCs w:val="22"/>
        </w:rPr>
        <w:t xml:space="preserve">Later: offline lesson packs, teacher dashboard, AR with the phone camera, more subjects.</w:t>
      </w:r>
    </w:p>
    <w:p>
      <w:pPr>
        <w:pStyle w:val="Heading1"/>
        <w:spacing w:after="140" w:before="320"/>
      </w:pPr>
      <w:r>
        <w:rPr>
          <w:rFonts w:ascii="Arial" w:cs="Arial" w:eastAsia="Arial" w:hAnsi="Arial"/>
          <w:b/>
          <w:bCs/>
          <w:color w:val="14213D"/>
          <w:sz w:val="32"/>
          <w:szCs w:val="32"/>
        </w:rPr>
        <w:t xml:space="preserve">8. AI layer (next phase)</w:t>
      </w:r>
    </w:p>
    <w:p>
      <w:pPr>
        <w:pStyle w:val="ListParagraph"/>
        <w:numPr>
          <w:ilvl w:val="0"/>
          <w:numId w:val="2"/>
        </w:numPr>
        <w:spacing w:after="70" w:line="290"/>
      </w:pPr>
      <w:r>
        <w:rPr>
          <w:rFonts w:ascii="Arial" w:cs="Arial" w:eastAsia="Arial" w:hAnsi="Arial"/>
          <w:b/>
          <w:bCs/>
          <w:sz w:val="22"/>
          <w:szCs w:val="22"/>
        </w:rPr>
        <w:t xml:space="preserve">Socratic tutor: </w:t>
      </w:r>
      <w:r>
        <w:rPr>
          <w:rFonts w:ascii="Arial" w:cs="Arial" w:eastAsia="Arial" w:hAnsi="Arial"/>
          <w:sz w:val="22"/>
          <w:szCs w:val="22"/>
        </w:rPr>
        <w:t xml:space="preserve">reads the current molecule and asks "why" before giving answers; points back to the visual.</w:t>
      </w:r>
    </w:p>
    <w:p>
      <w:pPr>
        <w:pStyle w:val="ListParagraph"/>
        <w:numPr>
          <w:ilvl w:val="0"/>
          <w:numId w:val="2"/>
        </w:numPr>
        <w:spacing w:after="70" w:line="290"/>
      </w:pPr>
      <w:r>
        <w:rPr>
          <w:rFonts w:ascii="Arial" w:cs="Arial" w:eastAsia="Arial" w:hAnsi="Arial"/>
          <w:b/>
          <w:bCs/>
          <w:sz w:val="22"/>
          <w:szCs w:val="22"/>
        </w:rPr>
        <w:t xml:space="preserve">Misconception detection: </w:t>
      </w:r>
      <w:r>
        <w:rPr>
          <w:rFonts w:ascii="Arial" w:cs="Arial" w:eastAsia="Arial" w:hAnsi="Arial"/>
          <w:sz w:val="22"/>
          <w:szCs w:val="22"/>
        </w:rPr>
        <w:t xml:space="preserve">classifies wrong answers (for example confusing aldehydes and ketones, writing COH instead of CHO) and responds with a targeted visual fix.</w:t>
      </w:r>
    </w:p>
    <w:p>
      <w:pPr>
        <w:pStyle w:val="ListParagraph"/>
        <w:numPr>
          <w:ilvl w:val="0"/>
          <w:numId w:val="2"/>
        </w:numPr>
        <w:spacing w:after="70" w:line="290"/>
      </w:pPr>
      <w:r>
        <w:rPr>
          <w:rFonts w:ascii="Arial" w:cs="Arial" w:eastAsia="Arial" w:hAnsi="Arial"/>
          <w:b/>
          <w:bCs/>
          <w:sz w:val="22"/>
          <w:szCs w:val="22"/>
        </w:rPr>
        <w:t xml:space="preserve">Adaptive question generator: </w:t>
      </w:r>
      <w:r>
        <w:rPr>
          <w:rFonts w:ascii="Arial" w:cs="Arial" w:eastAsia="Arial" w:hAnsi="Arial"/>
          <w:sz w:val="22"/>
          <w:szCs w:val="22"/>
        </w:rPr>
        <w:t xml:space="preserve">new questions in Siyavula-exercise style, in scope, on fresh molecules.</w:t>
      </w:r>
    </w:p>
    <w:p>
      <w:pPr>
        <w:pStyle w:val="ListParagraph"/>
        <w:numPr>
          <w:ilvl w:val="0"/>
          <w:numId w:val="2"/>
        </w:numPr>
        <w:spacing w:after="70" w:line="290"/>
      </w:pPr>
      <w:r>
        <w:rPr>
          <w:rFonts w:ascii="Arial" w:cs="Arial" w:eastAsia="Arial" w:hAnsi="Arial"/>
          <w:b/>
          <w:bCs/>
          <w:sz w:val="22"/>
          <w:szCs w:val="22"/>
        </w:rPr>
        <w:t xml:space="preserve">Textbook grounding (retrieval): </w:t>
      </w:r>
      <w:r>
        <w:rPr>
          <w:rFonts w:ascii="Arial" w:cs="Arial" w:eastAsia="Arial" w:hAnsi="Arial"/>
          <w:sz w:val="22"/>
          <w:szCs w:val="22"/>
        </w:rPr>
        <w:t xml:space="preserve">tutor quotes definitions from the Siyavula sections so wording matches class and exams.</w:t>
      </w:r>
    </w:p>
    <w:p>
      <w:pPr>
        <w:pStyle w:val="ListParagraph"/>
        <w:numPr>
          <w:ilvl w:val="0"/>
          <w:numId w:val="2"/>
        </w:numPr>
        <w:spacing w:after="70" w:line="290"/>
      </w:pPr>
      <w:r>
        <w:rPr>
          <w:rFonts w:ascii="Arial" w:cs="Arial" w:eastAsia="Arial" w:hAnsi="Arial"/>
          <w:b/>
          <w:bCs/>
          <w:sz w:val="22"/>
          <w:szCs w:val="22"/>
        </w:rPr>
        <w:t xml:space="preserve">Accuracy split: </w:t>
      </w:r>
      <w:r>
        <w:rPr>
          <w:rFonts w:ascii="Arial" w:cs="Arial" w:eastAsia="Arial" w:hAnsi="Arial"/>
          <w:sz w:val="22"/>
          <w:szCs w:val="22"/>
        </w:rPr>
        <w:t xml:space="preserve">a chemistry library (RDKit) validates formulas, names and structures; the LLM handles teaching language, so chemistry facts are not hallucinated.</w:t>
      </w:r>
    </w:p>
    <w:p>
      <w:pPr>
        <w:pStyle w:val="ListParagraph"/>
        <w:numPr>
          <w:ilvl w:val="0"/>
          <w:numId w:val="2"/>
        </w:numPr>
        <w:spacing w:after="70" w:line="290"/>
      </w:pPr>
      <w:r>
        <w:rPr>
          <w:rFonts w:ascii="Arial" w:cs="Arial" w:eastAsia="Arial" w:hAnsi="Arial"/>
          <w:b/>
          <w:bCs/>
          <w:sz w:val="22"/>
          <w:szCs w:val="22"/>
        </w:rPr>
        <w:t xml:space="preserve">Optional: </w:t>
      </w:r>
      <w:r>
        <w:rPr>
          <w:rFonts w:ascii="Arial" w:cs="Arial" w:eastAsia="Arial" w:hAnsi="Arial"/>
          <w:sz w:val="22"/>
          <w:szCs w:val="22"/>
        </w:rPr>
        <w:t xml:space="preserve">photo of a textbook structure converted to an editable molecule.</w:t>
      </w:r>
    </w:p>
    <w:p>
      <w:pPr>
        <w:pStyle w:val="Heading2"/>
        <w:spacing w:after="100" w:before="220"/>
      </w:pPr>
      <w:r>
        <w:rPr>
          <w:rFonts w:ascii="Arial" w:cs="Arial" w:eastAsia="Arial" w:hAnsi="Arial"/>
          <w:b/>
          <w:bCs/>
          <w:color w:val="2F5BEA"/>
          <w:sz w:val="26"/>
          <w:szCs w:val="26"/>
        </w:rPr>
        <w:t xml:space="preserve">Architecture</w:t>
      </w:r>
    </w:p>
    <w:p>
      <w:pPr>
        <w:spacing w:after="120" w:line="300"/>
      </w:pPr>
      <w:r>
        <w:rPr>
          <w:rFonts w:ascii="Arial" w:cs="Arial" w:eastAsia="Arial" w:hAnsi="Arial"/>
          <w:sz w:val="22"/>
          <w:szCs w:val="22"/>
        </w:rPr>
        <w:t xml:space="preserve">React or plain JS front end (canvas, 3D viewer) calls a FastAPI back end, which calls the Claude API (tutor, feedback), RDKit (names, formulas, validity), curriculum JSON (concepts, prerequisites) and a database (learner mastery and history).</w:t>
      </w:r>
    </w:p>
    <w:p>
      <w:pPr>
        <w:pStyle w:val="Heading2"/>
        <w:spacing w:after="100" w:before="220"/>
      </w:pPr>
      <w:r>
        <w:rPr>
          <w:rFonts w:ascii="Arial" w:cs="Arial" w:eastAsia="Arial" w:hAnsi="Arial"/>
          <w:b/>
          <w:bCs/>
          <w:color w:val="2F5BEA"/>
          <w:sz w:val="26"/>
          <w:szCs w:val="26"/>
        </w:rPr>
        <w:t xml:space="preserve">Curriculum data example</w:t>
      </w:r>
    </w:p>
    <w:p>
      <w:pPr>
        <w:spacing w:after="120" w:line="300"/>
      </w:pPr>
      <w:r>
        <w:rPr>
          <w:rFonts w:ascii="Arial" w:cs="Arial" w:eastAsia="Arial" w:hAnsi="Arial"/>
          <w:sz w:val="22"/>
          <w:szCs w:val="22"/>
        </w:rPr>
        <w:t xml:space="preserve">{ "id": "ESCK8", "title": "Saturated and unsaturated structures", "source": "Siyavula Gr12 Ch4 s4.2", "prerequisites": ["ESCK5","ESCK6"], "outcomes": ["Define saturated and unsaturated compounds","Classify a hydrocarbon from its structure","Explain why unsaturated compounds are more reactive"], "representations": ["macroscopic","submicroscopic","symbolic"], "scope_limits": ["max 8 carbons","one functional group type"] }</w:t>
      </w:r>
    </w:p>
    <w:p>
      <w:pPr>
        <w:pStyle w:val="Heading1"/>
        <w:spacing w:after="140" w:before="320"/>
      </w:pPr>
      <w:r>
        <w:rPr>
          <w:rFonts w:ascii="Arial" w:cs="Arial" w:eastAsia="Arial" w:hAnsi="Arial"/>
          <w:b/>
          <w:bCs/>
          <w:color w:val="14213D"/>
          <w:sz w:val="32"/>
          <w:szCs w:val="32"/>
        </w:rPr>
        <w:t xml:space="preserve">9. Build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Phase</w:t>
            </w:r>
          </w:p>
        </w:tc>
        <w:tc>
          <w:tcPr>
            <w:tcW w:type="dxa" w:w="756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Work</w:t>
            </w:r>
          </w:p>
        </w:tc>
      </w:tr>
      <w:tr>
        <w:trPr>
          <w:tblHeader w:val="false"/>
        </w:trPr>
        <w:tc>
          <w:tcPr>
            <w:tcW w:type="dxa" w:w="18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1. Foundation</w:t>
            </w:r>
          </w:p>
        </w:tc>
        <w:tc>
          <w:tcPr>
            <w:tcW w:type="dxa" w:w="75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Curriculum JSON for section 4.2; Lesson 1 prototype (done); linked-representation molecule builder</w:t>
            </w:r>
          </w:p>
        </w:tc>
      </w:tr>
      <w:tr>
        <w:trPr>
          <w:tblHeader w:val="false"/>
        </w:trPr>
        <w:tc>
          <w:tcPr>
            <w:tcW w:type="dxa" w:w="18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2. Lesson engine</w:t>
            </w:r>
          </w:p>
        </w:tc>
        <w:tc>
          <w:tcPr>
            <w:tcW w:type="dxa" w:w="75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Predict, manipulate, observe loop across Lessons 2 to 5; saturated/unsaturated lesson with bromine water lab</w:t>
            </w:r>
          </w:p>
        </w:tc>
      </w:tr>
      <w:tr>
        <w:trPr>
          <w:tblHeader w:val="false"/>
        </w:trPr>
        <w:tc>
          <w:tcPr>
            <w:tcW w:type="dxa" w:w="18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3. Tutor and adaptivity</w:t>
            </w:r>
          </w:p>
        </w:tc>
        <w:tc>
          <w:tcPr>
            <w:tcW w:type="dxa" w:w="75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Claude Socratic tutor reading canvas state; mastery tracking; prerequisite fallback</w:t>
            </w:r>
          </w:p>
        </w:tc>
      </w:tr>
      <w:tr>
        <w:trPr>
          <w:tblHeader w:val="false"/>
        </w:trPr>
        <w:tc>
          <w:tcPr>
            <w:tcW w:type="dxa" w:w="18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4. Visual depth</w:t>
            </w:r>
          </w:p>
        </w:tc>
        <w:tc>
          <w:tcPr>
            <w:tcW w:type="dxa" w:w="75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Boiling point and intermolecular force animation; addition reaction animation</w:t>
            </w:r>
          </w:p>
        </w:tc>
      </w:tr>
      <w:tr>
        <w:trPr>
          <w:tblHeader w:val="false"/>
        </w:trPr>
        <w:tc>
          <w:tcPr>
            <w:tcW w:type="dxa" w:w="18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5. Polish and proof</w:t>
            </w:r>
          </w:p>
        </w:tc>
        <w:tc>
          <w:tcPr>
            <w:tcW w:type="dxa" w:w="75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Concept map, test with real learners, demo script</w:t>
            </w:r>
          </w:p>
        </w:tc>
      </w:tr>
    </w:tbl>
    <w:p>
      <w:pPr>
        <w:spacing w:after="120" w:line="300"/>
      </w:pPr>
      <w:r>
        <w:rPr>
          <w:rFonts w:ascii="Arial" w:cs="Arial" w:eastAsia="Arial" w:hAnsi="Arial"/>
          <w:sz w:val="22"/>
          <w:szCs w:val="22"/>
        </w:rPr>
        <w:t xml:space="preserve">If time runs short, cut phase 4 before weakening phases 1 to 3.</w:t>
      </w:r>
    </w:p>
    <w:p>
      <w:pPr>
        <w:pStyle w:val="Heading1"/>
        <w:spacing w:after="140" w:before="320"/>
      </w:pPr>
      <w:r>
        <w:rPr>
          <w:rFonts w:ascii="Arial" w:cs="Arial" w:eastAsia="Arial" w:hAnsi="Arial"/>
          <w:b/>
          <w:bCs/>
          <w:color w:val="14213D"/>
          <w:sz w:val="32"/>
          <w:szCs w:val="32"/>
        </w:rPr>
        <w:t xml:space="preserve">10. Demo, evidence and risks</w:t>
      </w:r>
    </w:p>
    <w:p>
      <w:pPr>
        <w:pStyle w:val="ListParagraph"/>
        <w:numPr>
          <w:ilvl w:val="0"/>
          <w:numId w:val="2"/>
        </w:numPr>
        <w:spacing w:after="70" w:line="290"/>
      </w:pPr>
      <w:r>
        <w:rPr>
          <w:rFonts w:ascii="Arial" w:cs="Arial" w:eastAsia="Arial" w:hAnsi="Arial"/>
          <w:b/>
          <w:bCs/>
          <w:sz w:val="22"/>
          <w:szCs w:val="22"/>
        </w:rPr>
        <w:t xml:space="preserve">Demo story: </w:t>
      </w:r>
      <w:r>
        <w:rPr>
          <w:rFonts w:ascii="Arial" w:cs="Arial" w:eastAsia="Arial" w:hAnsi="Arial"/>
          <w:sz w:val="22"/>
          <w:szCs w:val="22"/>
        </w:rPr>
        <w:t xml:space="preserve">show a learner who memorises "alkenes react with bromine" and fails a twist question, then the same learner using Carbon Lab.</w:t>
      </w:r>
    </w:p>
    <w:p>
      <w:pPr>
        <w:pStyle w:val="ListParagraph"/>
        <w:numPr>
          <w:ilvl w:val="0"/>
          <w:numId w:val="2"/>
        </w:numPr>
        <w:spacing w:after="70" w:line="290"/>
      </w:pPr>
      <w:r>
        <w:rPr>
          <w:rFonts w:ascii="Arial" w:cs="Arial" w:eastAsia="Arial" w:hAnsi="Arial"/>
          <w:b/>
          <w:bCs/>
          <w:sz w:val="22"/>
          <w:szCs w:val="22"/>
        </w:rPr>
        <w:t xml:space="preserve">Evidence: </w:t>
      </w:r>
      <w:r>
        <w:rPr>
          <w:rFonts w:ascii="Arial" w:cs="Arial" w:eastAsia="Arial" w:hAnsi="Arial"/>
          <w:sz w:val="22"/>
          <w:szCs w:val="22"/>
        </w:rPr>
        <w:t xml:space="preserve">a short before and after quiz with 3 to 5 Grade 12 learners using unseen molecules, plus an "understanding score" based on explanation quality and novel-question results.</w:t>
      </w:r>
    </w:p>
    <w:p>
      <w:pPr>
        <w:pStyle w:val="ListParagraph"/>
        <w:numPr>
          <w:ilvl w:val="0"/>
          <w:numId w:val="2"/>
        </w:numPr>
        <w:spacing w:after="70" w:line="290"/>
      </w:pPr>
      <w:r>
        <w:rPr>
          <w:rFonts w:ascii="Arial" w:cs="Arial" w:eastAsia="Arial" w:hAnsi="Arial"/>
          <w:b/>
          <w:bCs/>
          <w:sz w:val="22"/>
          <w:szCs w:val="22"/>
        </w:rPr>
        <w:t xml:space="preserve">Positioning: </w:t>
      </w:r>
      <w:r>
        <w:rPr>
          <w:rFonts w:ascii="Arial" w:cs="Arial" w:eastAsia="Arial" w:hAnsi="Arial"/>
          <w:sz w:val="22"/>
          <w:szCs w:val="22"/>
        </w:rPr>
        <w:t xml:space="preserve">CAPS-aligned, free, low data, works on cheap phones, extends to every organic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Risk</w:t>
            </w:r>
          </w:p>
        </w:tc>
        <w:tc>
          <w:tcPr>
            <w:tcW w:type="dxa" w:w="6360"/>
            <w:tcBorders>
              <w:top w:val="single" w:color="C8D5E3" w:sz="4"/>
              <w:left w:val="single" w:color="C8D5E3" w:sz="4"/>
              <w:bottom w:val="single" w:color="C8D5E3" w:sz="4"/>
              <w:right w:val="single" w:color="C8D5E3" w:sz="4"/>
            </w:tcBorders>
            <w:shd w:fill="E8EEFC" w:color="auto" w:val="clear"/>
            <w:tcMar>
              <w:top w:type="dxa" w:w="70"/>
              <w:left w:type="dxa" w:w="110"/>
              <w:bottom w:type="dxa" w:w="70"/>
              <w:right w:type="dxa" w:w="110"/>
            </w:tcMar>
          </w:tcPr>
          <w:p>
            <w:r>
              <w:rPr>
                <w:rFonts w:ascii="Arial" w:cs="Arial" w:eastAsia="Arial" w:hAnsi="Arial"/>
                <w:b/>
                <w:bCs/>
                <w:sz w:val="20"/>
                <w:szCs w:val="20"/>
              </w:rPr>
              <w:t xml:space="preserve">Mitigation</w:t>
            </w:r>
          </w:p>
        </w:tc>
      </w:tr>
      <w:tr>
        <w:trPr>
          <w:tblHeader w:val="false"/>
        </w:trPr>
        <w:tc>
          <w:tcPr>
            <w:tcW w:type="dxa" w:w="30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Scope too large for the time</w:t>
            </w:r>
          </w:p>
        </w:tc>
        <w:tc>
          <w:tcPr>
            <w:tcW w:type="dxa" w:w="63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Polish Lessons 1 to 3 first; later modules reuse the same engine</w:t>
            </w:r>
          </w:p>
        </w:tc>
      </w:tr>
      <w:tr>
        <w:trPr>
          <w:tblHeader w:val="false"/>
        </w:trPr>
        <w:tc>
          <w:tcPr>
            <w:tcW w:type="dxa" w:w="30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Wrong chemistry from the AI</w:t>
            </w:r>
          </w:p>
        </w:tc>
        <w:tc>
          <w:tcPr>
            <w:tcW w:type="dxa" w:w="63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RDKit validates facts; tutor grounded in textbook text</w:t>
            </w:r>
          </w:p>
        </w:tc>
      </w:tr>
      <w:tr>
        <w:trPr>
          <w:tblHeader w:val="false"/>
        </w:trPr>
        <w:tc>
          <w:tcPr>
            <w:tcW w:type="dxa" w:w="30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Accuracy of curriculum mapping</w:t>
            </w:r>
          </w:p>
        </w:tc>
        <w:tc>
          <w:tcPr>
            <w:tcW w:type="dxa" w:w="63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Confirm against the official CAPS document and past NSC papers</w:t>
            </w:r>
          </w:p>
        </w:tc>
      </w:tr>
      <w:tr>
        <w:trPr>
          <w:tblHeader w:val="false"/>
        </w:trPr>
        <w:tc>
          <w:tcPr>
            <w:tcW w:type="dxa" w:w="300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Prototype not yet tested in a browser at scale</w:t>
            </w:r>
          </w:p>
        </w:tc>
        <w:tc>
          <w:tcPr>
            <w:tcW w:type="dxa" w:w="6360"/>
            <w:tcBorders>
              <w:top w:val="single" w:color="C8D5E3" w:sz="4"/>
              <w:left w:val="single" w:color="C8D5E3" w:sz="4"/>
              <w:bottom w:val="single" w:color="C8D5E3" w:sz="4"/>
              <w:right w:val="single" w:color="C8D5E3" w:sz="4"/>
            </w:tcBorders>
            <w:tcMar>
              <w:top w:type="dxa" w:w="70"/>
              <w:left w:type="dxa" w:w="110"/>
              <w:bottom w:type="dxa" w:w="70"/>
              <w:right w:type="dxa" w:w="110"/>
            </w:tcMar>
          </w:tcPr>
          <w:p>
            <w:r>
              <w:rPr>
                <w:rFonts w:ascii="Arial" w:cs="Arial" w:eastAsia="Arial" w:hAnsi="Arial"/>
                <w:b w:val="false"/>
                <w:bCs w:val="false"/>
                <w:sz w:val="20"/>
                <w:szCs w:val="20"/>
              </w:rPr>
              <w:t xml:space="preserve">Cross-browser and phone testing before the demo</w:t>
            </w:r>
          </w:p>
        </w:tc>
      </w:tr>
    </w:tbl>
    <w:p>
      <w:pPr>
        <w:pStyle w:val="Heading1"/>
        <w:spacing w:after="140" w:before="320"/>
      </w:pPr>
      <w:r>
        <w:rPr>
          <w:rFonts w:ascii="Arial" w:cs="Arial" w:eastAsia="Arial" w:hAnsi="Arial"/>
          <w:b/>
          <w:bCs/>
          <w:color w:val="14213D"/>
          <w:sz w:val="32"/>
          <w:szCs w:val="32"/>
        </w:rPr>
        <w:t xml:space="preserve">11. Next steps</w:t>
      </w:r>
    </w:p>
    <w:p>
      <w:pPr>
        <w:pStyle w:val="ListParagraph"/>
        <w:numPr>
          <w:ilvl w:val="0"/>
          <w:numId w:val="2"/>
        </w:numPr>
        <w:spacing w:after="70" w:line="290"/>
      </w:pPr>
      <w:r>
        <w:rPr>
          <w:rFonts w:ascii="Arial" w:cs="Arial" w:eastAsia="Arial" w:hAnsi="Arial"/>
          <w:sz w:val="22"/>
          <w:szCs w:val="22"/>
        </w:rPr>
        <w:t xml:space="preserve">Run the Lesson 1 prototype on a phone and a laptop and note rough spots.</w:t>
      </w:r>
    </w:p>
    <w:p>
      <w:pPr>
        <w:pStyle w:val="ListParagraph"/>
        <w:numPr>
          <w:ilvl w:val="0"/>
          <w:numId w:val="2"/>
        </w:numPr>
        <w:spacing w:after="70" w:line="290"/>
      </w:pPr>
      <w:r>
        <w:rPr>
          <w:rFonts w:ascii="Arial" w:cs="Arial" w:eastAsia="Arial" w:hAnsi="Arial"/>
          <w:sz w:val="22"/>
          <w:szCs w:val="22"/>
        </w:rPr>
        <w:t xml:space="preserve">Download the official CAPS Grade 12 Physical Sciences document and past NSC Paper 2 to confirm scope and question style.</w:t>
      </w:r>
    </w:p>
    <w:p>
      <w:pPr>
        <w:pStyle w:val="ListParagraph"/>
        <w:numPr>
          <w:ilvl w:val="0"/>
          <w:numId w:val="2"/>
        </w:numPr>
        <w:spacing w:after="70" w:line="290"/>
      </w:pPr>
      <w:r>
        <w:rPr>
          <w:rFonts w:ascii="Arial" w:cs="Arial" w:eastAsia="Arial" w:hAnsi="Arial"/>
          <w:sz w:val="22"/>
          <w:szCs w:val="22"/>
        </w:rPr>
        <w:t xml:space="preserve">Build Lesson 2 (four ways to see one molecule) with the rotating 3D view.</w:t>
      </w:r>
    </w:p>
    <w:p>
      <w:pPr>
        <w:pStyle w:val="ListParagraph"/>
        <w:numPr>
          <w:ilvl w:val="0"/>
          <w:numId w:val="2"/>
        </w:numPr>
        <w:spacing w:after="70" w:line="290"/>
      </w:pPr>
      <w:r>
        <w:rPr>
          <w:rFonts w:ascii="Arial" w:cs="Arial" w:eastAsia="Arial" w:hAnsi="Arial"/>
          <w:sz w:val="22"/>
          <w:szCs w:val="22"/>
        </w:rPr>
        <w:t xml:space="preserve">Write the curriculum JSON for all of section 4.2.</w:t>
      </w:r>
    </w:p>
    <w:p>
      <w:pPr>
        <w:pStyle w:val="ListParagraph"/>
        <w:numPr>
          <w:ilvl w:val="0"/>
          <w:numId w:val="2"/>
        </w:numPr>
        <w:spacing w:after="70" w:line="290"/>
      </w:pPr>
      <w:r>
        <w:rPr>
          <w:rFonts w:ascii="Arial" w:cs="Arial" w:eastAsia="Arial" w:hAnsi="Arial"/>
          <w:sz w:val="22"/>
          <w:szCs w:val="22"/>
        </w:rPr>
        <w:t xml:space="preserve">Add the Claude tutor once the lessons are stable.</w:t>
      </w:r>
    </w:p>
    <w:p>
      <w:pPr>
        <w:pStyle w:val="Heading1"/>
        <w:spacing w:after="140" w:before="320"/>
      </w:pPr>
      <w:r>
        <w:rPr>
          <w:rFonts w:ascii="Arial" w:cs="Arial" w:eastAsia="Arial" w:hAnsi="Arial"/>
          <w:b/>
          <w:bCs/>
          <w:color w:val="14213D"/>
          <w:sz w:val="32"/>
          <w:szCs w:val="32"/>
        </w:rPr>
        <w:t xml:space="preserve">Sources</w:t>
      </w:r>
    </w:p>
    <w:p>
      <w:pPr>
        <w:spacing w:after="120" w:line="300"/>
      </w:pPr>
      <w:r>
        <w:rPr>
          <w:rFonts w:ascii="Arial" w:cs="Arial" w:eastAsia="Arial" w:hAnsi="Arial"/>
          <w:sz w:val="22"/>
          <w:szCs w:val="22"/>
        </w:rPr>
        <w:t xml:space="preserve">Siyavula Physical Sciences Grade 12, Chapter 4 Organic molecules, sections 4.1 and 4.2 (siyavula.com/read/za/physical-sciences/grade-12/organic-molecules). Licensed under Creative Commons Attribution.</w:t>
      </w:r>
    </w:p>
    <w:sectPr>
      <w:footerReference w:type="default" r:id="rId7"/>
      <w:pgSz w:w="11906" w:h="16838" w:orient="portrait"/>
      <w:pgMar w:top="1300" w:right="1273" w:bottom="13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B82"/>
        <w:sz w:val="18"/>
        <w:szCs w:val="18"/>
      </w:rPr>
      <w:t xml:space="preserve">Carbon Lab project plan · page </w:t>
    </w:r>
    <w:r>
      <w:rPr>
        <w:rFonts w:ascii="Arial" w:cs="Arial" w:eastAsia="Arial" w:hAnsi="Arial"/>
        <w:color w:val="5B6B8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2026-10-04T09:38:03.957Z</dcterms:created>
  <dcterms:modified xsi:type="dcterms:W3CDTF">2026-10-04T09:38:03.966Z</dcterms:modified>
</cp:coreProperties>
</file>

<file path=docProps/custom.xml><?xml version="1.0" encoding="utf-8"?>
<Properties xmlns="http://schemas.openxmlformats.org/officeDocument/2006/custom-properties" xmlns:vt="http://schemas.openxmlformats.org/officeDocument/2006/docPropsVTypes"/>
</file>