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SVD应用于推荐系统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数据集中行代表用户user，列代表物品item，其中的值代表用户对物品的打分。基于SVD的优势在于：用户的评分数据是稀疏矩阵，可以用SVD将原始数据映射到低维空间中，然后计算物品item之间的相似度，可以节省计算资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整体思路：先找到用户没有评分的物品，然后再经过SVD“压缩”后的低维空间中，计算未评分物品与其他物品的相似性，得到一个预测打分，再对这些物品的评分从高到低进行排序，返回前N个物品推荐给用户。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具体代码如下，主要分为5部分：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第1部分：加载测试数据集；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第2部分：定义三种计算相似度的方法；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第3部分：通过计算奇异值平方和的百分比来确定将数据降到多少维才合适，返回需要降到的维度；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第4部分：在已经降维的数据中，基于SVD对用户未打分的物品进行评分预测，返回未打分物品的预测评分值；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第5部分：产生前N个评分值高的物品，返回物品编号以及预测评分值。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6"/>
          <w:szCs w:val="36"/>
          <w:shd w:val="clear" w:fill="FFFFFF"/>
        </w:rPr>
        <w:t>2.slope one 算法思想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Slope One 算法是由 Daniel Lemire 教授在 2005 年提出的一个Item-Based 的协同过滤推荐算法。和其它类似算法相比, 它的最大优点在于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shd w:val="clear" w:fill="FFFFFF"/>
        </w:rPr>
        <w:t>算法很简单, 易于实现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, 执行效率高, 同时推荐的准确性相对较高。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Slope One算法是基于不同物品之间的评分差的线性算法，预测用户对物品评分的个性化算法。主要两步：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Step1:计算物品之间的评分差的均值，记为物品间的评分偏差(两物品同时被评分)；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Step2:根据物品间的评分偏差和用户的历史评分，预测用户对未评分的物品的评分。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Step3:将预测评分排序，取topN对应的物品推荐给用户。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36"/>
          <w:szCs w:val="36"/>
          <w:shd w:val="clear" w:fill="FFFFFF"/>
        </w:rPr>
        <w:t>4.slopeOne使用场景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该算法适用于物品更新不频繁，数量相对较稳定并且物品数目明显小于用户数的场景。依赖用户的用户行为日志和物品偏好的相关内容。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优点：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1.算法简单，易于实现，执行效率高；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2.可以发现用户潜在的兴趣爱好；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缺点：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依赖用户行为，存在冷启动问题和稀疏性问题。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验证系统：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用户体验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张浩@大数据分析与处理 11:39:18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各位同学，大家好。本周一无需上传任何视频。今天下午将以组为单位对两周工作做桌面检查。具体如下： 1. 分组进行   2. 组内成果展示（文字、GITHUB、SPRINT成果、接下来的工作、其它与项目相关的工作）3、组员逐个介绍工作进展  4、本次检查为考试的一部分。我们将在今后的课程中采用这个这种方式积分。即使在同一组，分值也可能因此有较大差距。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张浩@大数据分析与处理 11:44:02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另外，本课程鼓励用英文写文档（BONUS)，开发的软件必须至少是英文界面且界面友好，本课程的软件是以 1. 完整的文档资料（按时上传阶段性文档）  2. 每次的SCRUM MEETING记录（视频上传、现场讨论）   3. 课堂分组考察  4. 实现软件所规定的功能且可稳定运行 5. 积极的课堂活动（出勤、发言、讨论）为完结标志的。大家只要认真做，应该能取得很好的成绩的。但如果没有按时去完成，也是很容易不及格的。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张浩@大数据分析与处理 11:46:36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下午各组带好相关文档和演示工具，将分组讨论，我将根据大家表现给予课程评分。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02680" cy="18573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7490" cy="1576705"/>
            <wp:effectExtent l="0" t="0" r="381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k:</w:t>
      </w: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In case of SVD and NNMF, </w:t>
      </w:r>
      <w:r>
        <w:rPr>
          <w:rFonts w:hint="eastAsia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k </w:t>
      </w: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is the rank of the approximation matrix and for correlation</w:t>
      </w:r>
      <w:r>
        <w:rPr>
          <w:rFonts w:hint="eastAsia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based methods, </w:t>
      </w:r>
      <w:r>
        <w:rPr>
          <w:rFonts w:hint="eastAsia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k</w:t>
      </w: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=#neighbors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W</w:t>
      </w:r>
      <w:r>
        <w:rPr>
          <w:rFonts w:hint="eastAsia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vertAlign w:val="superscript"/>
          <w:lang w:val="en-US" w:eastAsia="zh-CN" w:bidi="ar"/>
        </w:rPr>
        <w:t>glob</w:t>
      </w:r>
      <w:r>
        <w:rPr>
          <w:rFonts w:hint="eastAsia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is the number </w:t>
      </w: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of non-zeros in </w:t>
      </w:r>
      <w:r>
        <w:rPr>
          <w:rFonts w:hint="eastAsia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6015" cy="4130040"/>
            <wp:effectExtent l="0" t="0" r="698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5折验证</w:t>
      </w:r>
    </w:p>
    <w:tbl>
      <w:tblPr>
        <w:tblStyle w:val="4"/>
        <w:tblW w:w="8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025"/>
        <w:gridCol w:w="950"/>
        <w:gridCol w:w="975"/>
        <w:gridCol w:w="949"/>
        <w:gridCol w:w="989"/>
        <w:gridCol w:w="1337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</w:t>
            </w:r>
          </w:p>
        </w:tc>
        <w:tc>
          <w:tcPr>
            <w:tcW w:w="1025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975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949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989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方差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SVD</w:t>
            </w:r>
          </w:p>
        </w:tc>
        <w:tc>
          <w:tcPr>
            <w:tcW w:w="1025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1.6385</w:t>
            </w:r>
          </w:p>
        </w:tc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1.6384</w:t>
            </w:r>
          </w:p>
        </w:tc>
        <w:tc>
          <w:tcPr>
            <w:tcW w:w="975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1.6350</w:t>
            </w:r>
          </w:p>
        </w:tc>
        <w:tc>
          <w:tcPr>
            <w:tcW w:w="949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1.6366</w:t>
            </w:r>
          </w:p>
        </w:tc>
        <w:tc>
          <w:tcPr>
            <w:tcW w:w="989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1.6294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1.12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x10-5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1.63558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BaseLine</w:t>
            </w:r>
          </w:p>
        </w:tc>
        <w:tc>
          <w:tcPr>
            <w:tcW w:w="1025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1.6381</w:t>
            </w:r>
          </w:p>
        </w:tc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1.6385</w:t>
            </w:r>
          </w:p>
        </w:tc>
        <w:tc>
          <w:tcPr>
            <w:tcW w:w="975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1.6353</w:t>
            </w:r>
          </w:p>
        </w:tc>
        <w:tc>
          <w:tcPr>
            <w:tcW w:w="949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1.6368</w:t>
            </w:r>
          </w:p>
        </w:tc>
        <w:tc>
          <w:tcPr>
            <w:tcW w:w="989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1.6316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6.23x10-6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1.63606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NMF</w:t>
            </w:r>
          </w:p>
        </w:tc>
        <w:tc>
          <w:tcPr>
            <w:tcW w:w="1025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2.4765</w:t>
            </w:r>
          </w:p>
        </w:tc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2.4777</w:t>
            </w:r>
          </w:p>
        </w:tc>
        <w:tc>
          <w:tcPr>
            <w:tcW w:w="975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2.4688</w:t>
            </w:r>
          </w:p>
        </w:tc>
        <w:tc>
          <w:tcPr>
            <w:tcW w:w="949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2.4815</w:t>
            </w:r>
          </w:p>
        </w:tc>
        <w:tc>
          <w:tcPr>
            <w:tcW w:w="989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2.4656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3.48x10-5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2.47402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CoClustering</w:t>
            </w:r>
          </w:p>
        </w:tc>
        <w:tc>
          <w:tcPr>
            <w:tcW w:w="1025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1.8438</w:t>
            </w:r>
          </w:p>
        </w:tc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1.8494</w:t>
            </w:r>
          </w:p>
        </w:tc>
        <w:tc>
          <w:tcPr>
            <w:tcW w:w="975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1.8500</w:t>
            </w:r>
          </w:p>
        </w:tc>
        <w:tc>
          <w:tcPr>
            <w:tcW w:w="949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1.8516</w:t>
            </w:r>
          </w:p>
        </w:tc>
        <w:tc>
          <w:tcPr>
            <w:tcW w:w="989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1.8424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1.33x10-5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1.84744</w:t>
            </w:r>
            <w:bookmarkStart w:id="0" w:name="_GoBack"/>
            <w:bookmarkEnd w:id="0"/>
          </w:p>
        </w:tc>
      </w:tr>
    </w:tbl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时间对比：三次运行取平均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算法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SVD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BaseLine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NMF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CoClustering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2.8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</w:tr>
    </w:tbl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F18"/>
    <w:multiLevelType w:val="singleLevel"/>
    <w:tmpl w:val="58B98F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A44B5"/>
    <w:rsid w:val="0E3824F2"/>
    <w:rsid w:val="19EB0DB6"/>
    <w:rsid w:val="459F6BCA"/>
    <w:rsid w:val="4AB64A35"/>
    <w:rsid w:val="51721399"/>
    <w:rsid w:val="533527E8"/>
    <w:rsid w:val="537234C4"/>
    <w:rsid w:val="564508E0"/>
    <w:rsid w:val="56AE495B"/>
    <w:rsid w:val="5DC33F80"/>
    <w:rsid w:val="5F9C41EB"/>
    <w:rsid w:val="60521186"/>
    <w:rsid w:val="6AE50794"/>
    <w:rsid w:val="6E7C4081"/>
    <w:rsid w:val="7E59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theeagle</dc:creator>
  <cp:lastModifiedBy>荒野之鹰</cp:lastModifiedBy>
  <dcterms:modified xsi:type="dcterms:W3CDTF">2020-09-12T13:05:14Z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