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4B"/>
          <w:sz w:val="72"/>
          <w:szCs w:val="72"/>
        </w:rPr>
        <w:t xml:space="preserve">CII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Clinical Intelligence Infrastructure</w:t>
      </w:r>
    </w:p>
    <w:p>
      <w:pPr>
        <w:spacing w:after="100"/>
      </w:pPr>
    </w:p>
    <w:p>
      <w:pPr>
        <w:pBdr>
          <w:top w:val="single" w:color="1B3A4B" w:sz="6" w:space="12"/>
        </w:pBdr>
        <w:spacing w:after="200" w:before="2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4B"/>
          <w:sz w:val="36"/>
          <w:szCs w:val="36"/>
        </w:rPr>
        <w:t xml:space="preserve">Pilot Program — Care Hospitals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Phase 1 Deployment Brief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Prepared for Technology Partners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Overview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CII (Clinical Intelligence Infrastructure) is a sovereign clinical intelligence platform developed to serve as the national healthcare AI infrastructure for Saudi Arabia. The Care Hospitals pilot is the first real-world deployment — validating the platform in a live healthcare environment with real physicians and real clinical decisions.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CII is not a clinical application. It is an intelligence layer that sits above healthcare systems, transforming clinical questions, physician workflows, and patient encounter data into structured clinical evidence and real-world data assets.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Pilot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Validate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Physician Adoption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Physicians use CII daily — integrated into clinical workflow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Clinical Usefulness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Improves evidence retrieval speed, diagnostic reasoning, documentation quality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Knowledge Generation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Produces structured, guideline-grade clinical knowledge outputs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Real-World Data Creation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de-identified clinical datasets for real-world evidence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Economic Viability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per-physician, per-hospital unit economics for national scale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Why Care Hospitals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Care Hospitals Fit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Multi-hospital system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facilities — tests across clinical environments and specialties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 patient volume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Sufficient encounters to generate meaningful data within 3–6 months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Research infrastructure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Established IRB, research committees, and data governance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Publishing ecosystem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relationship with scientific publishing channels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Physician engagement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staff with demonstrated interest in evidence-based practice</w:t>
            </w:r>
          </w:p>
        </w:tc>
      </w:tr>
    </w:tbl>
    <w:p>
      <w:pPr>
        <w:spacing w:after="100"/>
      </w:pP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This is not a test environment. CII is deployed into a live healthcare system with real patients, real physicians, and real clinical decisions.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Entry Point — Clinical Evidence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Physicians — directly at the point of care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Browser-based — no EHR integration required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Workflow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disruption — embeds into existing clinical workflow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Arabic and English clinical queries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retrieval, differential support, drug interaction screening, documentation assistance</w:t>
            </w:r>
          </w:p>
        </w:tc>
      </w:tr>
    </w:tbl>
    <w:p>
      <w:pPr>
        <w:spacing w:after="100"/>
      </w:pP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This entry point requires no IT infrastructure changes at the hospital. Physicians can start using it on day one.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Technology Partner Role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CII’s clinical evidence engine is powered by an integrated AI technology layer. The technology partner provides the core evidence retrieval and clinical reasoning capabilities that power CII’s Clinical Evidence Assistant.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 model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engine embedded inside CII platform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Saudi Arabia — all data processed and stored locally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experience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interactions through CII interface — unified physician experience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Branding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CII is the physician-facing brand. Technology components operate as infrastructure layer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Timeline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delivery within 7 days of branding materials; pilot duration 3–6 months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Scientific Governance Model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CII operates under structured Saudi scientific society governance — ensuring clinical credibility that no standalone AI platform can replicate.</w:t>
      </w:r>
    </w:p>
    <w:p>
      <w:pPr>
        <w:spacing w:after="10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EDF2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Clinical Domain (e.g., Cardiology, Endocrinology)</w:t>
            </w:r>
          </w:p>
        </w:tc>
      </w:tr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4B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EDF2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Saudi Scientific Society (e.g., Saudi Heart Association)</w:t>
            </w:r>
          </w:p>
        </w:tc>
      </w:tr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4B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EDF2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Affiliated Journal (via TKG Waraqa)</w:t>
            </w:r>
          </w:p>
        </w:tc>
      </w:tr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4B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EDF2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Editorial Board / Clinical Review Committee</w:t>
            </w:r>
          </w:p>
        </w:tc>
      </w:tr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4B"/>
                <w:sz w:val="28"/>
                <w:szCs w:val="28"/>
              </w:rPr>
              <w:t xml:space="preserve">↓</w:t>
            </w:r>
          </w:p>
        </w:tc>
      </w:tr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fill="EDF2F7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Validated CII Knowledge Output</w:t>
            </w:r>
          </w:p>
        </w:tc>
      </w:tr>
    </w:tbl>
    <w:p>
      <w:pPr>
        <w:spacing w:after="100"/>
      </w:pP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governance ensures scientific validation of recommendations, alignment with Saudi clinical guidelines, structured knowledge creation that can be published and cited, and clinical credibility through society endorsement.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Physician Incentive System</w:t>
      </w:r>
    </w:p>
    <w:p>
      <w:pPr>
        <w:pStyle w:val="Heading2"/>
      </w:pPr>
      <w:r>
        <w:rPr>
          <w:rFonts w:ascii="Arial" w:cs="Arial" w:eastAsia="Arial" w:hAnsi="Arial"/>
        </w:rPr>
        <w:t xml:space="preserve">Token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Level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Clinical question with structured context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 review and quality rating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Research contribution (case report, cohort)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Guideline contribution (draft for society review)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Premium+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</w:rPr>
        <w:t xml:space="preserve">Token Redemption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CME credits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Accredited through SCFHS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Academic recognition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Contributions credited in published outputs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Financial rewards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Token-to-payment for high-value contributions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Conference access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access to scientific society events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Adoption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 Target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 Target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daily physician users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80+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Clinical queries per physician/week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Structured knowledge entries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1,000+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RWE-ready datasets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Physician satisfaction (NPS)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40+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60+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Query-to-answer time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 seconds</w:t>
            </w:r>
          </w:p>
        </w:tc>
        <w:tc>
          <w:tcPr>
            <w:tcW w:type="dxa" w:w="293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&lt;20 seconds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Ecosystem Integration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CII connects to the broader Theeb Ecosystem, leveraging existing entities across knowledge, value, and health delivery: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Pilot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TKG — Waraqa (Scientific Publishing)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 channel for pilot-generated guidelines and systematic reviews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TKG — Nama Academy (Medical Education)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CME credit accreditation for physician incentive system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TKG — Nama CRO (Contract Research)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design support for RWE studies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TKG — Scientific Societies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governance boards per specialty domain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TVG — Integra RCM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Post-pilot: documentation AI tested against coding accuracy benchmarks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TVG — VBH Company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Post-pilot: patient outcome data feeds value-based contract evidence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Regulatory Pre-Positioning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Regulatory Body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CII Positioning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SFDA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health product registration — clinical decision support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CCHI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clinical decision support for insurer quality programs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MOH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for national clinical decision support infrastructure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SCFHS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Accredited pathway for CME credit generation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Saudi Digital Library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 closed-source journal databases for evidence enrichment</w:t>
            </w:r>
          </w:p>
        </w:tc>
      </w:tr>
    </w:tbl>
    <w:p>
      <w:pPr>
        <w:spacing w:after="100"/>
      </w:pP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Strategy: Begin regulatory conversations during the pilot, not after. Early engagement creates first-mover regulatory positioning.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11. Strategic Outcome</w:t>
      </w:r>
    </w:p>
    <w:p>
      <w:pPr>
        <w:spacing w:after="100"/>
      </w:pPr>
    </w:p>
    <w:p>
      <w:pPr>
        <w:pBdr>
          <w:left w:val="single" w:color="1B3A4B" w:sz="12" w:space="8"/>
        </w:pBdr>
        <w:spacing w:after="200"/>
        <w:ind w:left="400"/>
      </w:pPr>
      <w:r>
        <w:rPr>
          <w:rFonts w:ascii="Arial" w:cs="Arial" w:eastAsia="Arial" w:hAnsi="Arial"/>
          <w:i/>
          <w:iCs/>
          <w:color w:val="1B3A4B"/>
          <w:sz w:val="24"/>
          <w:szCs w:val="24"/>
        </w:rPr>
        <w:t xml:space="preserve">This pilot proves that Saudi Arabia can build a sovereign clinical intelligence infrastructure — deployed in a real hospital, used by real physicians, generating real clinical knowledge, governed by Saudi scientific societies.</w:t>
      </w:r>
    </w:p>
    <w:p>
      <w:pPr>
        <w:spacing w:after="100"/>
      </w:pP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the proof point that unlocks enterprise clients, government partnerships, investor confidence, and regional expansion.</w:t>
      </w: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Brief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CII Pilot Brief | March 2026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CII Pilot Program — Care Hospitals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5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2026-03-18T03:59:02.388Z</dcterms:created>
  <dcterms:modified xsi:type="dcterms:W3CDTF">2026-03-18T03:59:02.391Z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