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9A84C"/>
          <w:sz w:val="28"/>
        </w:rPr>
        <w:t>THEEB ECOSYSTEM</w:t>
      </w:r>
    </w:p>
    <w:p/>
    <w:p>
      <w:pPr>
        <w:jc w:val="center"/>
      </w:pPr>
      <w:r>
        <w:rPr>
          <w:b/>
          <w:color w:val="1E3A5F"/>
          <w:sz w:val="52"/>
        </w:rPr>
        <w:t>Strategic Partnership Proposal</w:t>
      </w:r>
    </w:p>
    <w:p/>
    <w:p>
      <w:pPr>
        <w:jc w:val="center"/>
      </w:pPr>
      <w:r>
        <w:rPr>
          <w:color w:val="333333"/>
          <w:sz w:val="28"/>
        </w:rPr>
        <w:t>Physician Career Development Program</w:t>
      </w:r>
    </w:p>
    <w:p/>
    <w:p/>
    <w:p/>
    <w:p/>
    <w:p>
      <w:pPr>
        <w:jc w:val="center"/>
      </w:pPr>
      <w:r>
        <w:rPr>
          <w:b/>
          <w:color w:val="C9A84C"/>
          <w:sz w:val="22"/>
        </w:rPr>
        <w:t>CONFIDENTIAL</w:t>
      </w:r>
    </w:p>
    <w:p>
      <w:pPr>
        <w:jc w:val="center"/>
      </w:pPr>
      <w:r>
        <w:rPr>
          <w:color w:val="333333"/>
          <w:sz w:val="22"/>
        </w:rPr>
        <w:t>March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Executive Summary</w:t>
      </w:r>
    </w:p>
    <w:p>
      <w:r>
        <w:rPr>
          <w:b w:val="0"/>
          <w:color w:val="333333"/>
          <w:sz w:val="22"/>
        </w:rPr>
        <w:t>The Theeb Ecosystem presents a strategic partnership opportunity for distinguished physicians who seek to transform their clinical expertise into a lasting professional legacy. This is not a service engagement. It is the construction of a comprehensive professional entity around you.</w:t>
      </w:r>
    </w:p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Saudi Arabia produces exceptional clinicians. Yet the majority face three persistent challenges that no single provider has been able to resolve: the complexity of academic promotion requirements, the absence of structured support for public knowledge contribution, and the difficulty of documenting professional impact in a way that satisfies institutional evaluation criteria.</w:t>
      </w:r>
    </w:p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The Theeb Ecosystem addresses all three simultaneously through an integrated infrastructure of twelve specialized entities spanning research, publishing, education, clinical delivery, financial intelligence, and technology. We build with you a complete professional pathway — from your first research idea to a nationally recognized career — while you continue to focus entirely on medicine.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Understanding Your Challenges</w:t>
      </w:r>
    </w:p>
    <w:p>
      <w:pPr>
        <w:pStyle w:val="Heading2"/>
      </w:pPr>
      <w:r>
        <w:rPr>
          <w:color w:val="1E3A5F"/>
        </w:rPr>
        <w:t>2.1 Academic Promotion</w:t>
      </w:r>
    </w:p>
    <w:p>
      <w:r>
        <w:rPr>
          <w:b w:val="0"/>
          <w:color w:val="333333"/>
          <w:sz w:val="22"/>
        </w:rPr>
        <w:t>Publishing requirements for academic promotion continue to intensify across Saudi universities and medical institutions. Promotion committees require publications in indexed journals — both local and international — across a range of study designs. Yet the operational infrastructure required to produce this volume of scholarly output — biostatisticians, medical writers, data analysts, journal selection expertise, and submission management — is simply not available to most practicing physicians.</w:t>
      </w:r>
    </w:p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The result is a significant gap between what promotion committees demand and what physicians can realistically deliver within the constraints of clinical practice, teaching responsibilities, and administrative duties.</w:t>
      </w:r>
    </w:p>
    <w:p>
      <w:pPr>
        <w:pStyle w:val="Heading2"/>
      </w:pPr>
      <w:r>
        <w:rPr>
          <w:color w:val="1E3A5F"/>
        </w:rPr>
        <w:t>2.2 Public Knowledge Contribution</w:t>
      </w:r>
    </w:p>
    <w:p>
      <w:r>
        <w:rPr>
          <w:b w:val="0"/>
          <w:color w:val="333333"/>
          <w:sz w:val="22"/>
        </w:rPr>
        <w:t>Institutional evaluation frameworks increasingly assess a physician’s contribution to public health education and community engagement. Social media has become the primary channel for this contribution. However, producing evidence-based educational content at the quality and frequency required for meaningful impact demands a dedicated team of medical writers, content strategists, video producers, and digital media professionals — resources that individual physicians do not have access to.</w:t>
      </w:r>
    </w:p>
    <w:p>
      <w:pPr>
        <w:pStyle w:val="Heading2"/>
      </w:pPr>
      <w:r>
        <w:rPr>
          <w:color w:val="1E3A5F"/>
        </w:rPr>
        <w:t>2.3 Documenting Professional Impact</w:t>
      </w:r>
    </w:p>
    <w:p>
      <w:r>
        <w:rPr>
          <w:b w:val="0"/>
          <w:color w:val="333333"/>
          <w:sz w:val="22"/>
        </w:rPr>
        <w:t>Universities, hospitals, and pharmaceutical companies evaluate physicians not only on clinical competence but on demonstrable impact: CME contributions, community engagement metrics, research output, advisory board participation, and educational product development. Most physicians perform many of these activities informally but lack a unified system to capture, document, and present this impact in the structured format that evaluation committees require.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Our Integrated Solution: Six Pillars</w:t>
      </w:r>
    </w:p>
    <w:p>
      <w:r>
        <w:rPr>
          <w:b w:val="0"/>
          <w:color w:val="333333"/>
          <w:sz w:val="22"/>
        </w:rPr>
        <w:t>The Theeb Ecosystem does not offer isolated services. We construct a complete professional infrastructure around your expertise, organized into six interconnected pillars.</w:t>
      </w:r>
    </w:p>
    <w:p>
      <w:r>
        <w:rPr>
          <w:b w:val="0"/>
          <w:color w:val="333333"/>
          <w:sz w:val="22"/>
        </w:rPr>
      </w:r>
    </w:p>
    <w:p>
      <w:pPr>
        <w:pStyle w:val="Heading2"/>
      </w:pPr>
      <w:r>
        <w:rPr>
          <w:color w:val="1E3A5F"/>
        </w:rPr>
        <w:t>3.1 Pillar One: Academic Career Acceleration</w:t>
      </w:r>
    </w:p>
    <w:p>
      <w:r>
        <w:rPr>
          <w:b w:val="0"/>
          <w:color w:val="333333"/>
          <w:sz w:val="22"/>
        </w:rPr>
        <w:t>We transform your clinical questions and research ideas into published scholarly work in the journals that matter most for your promotion — whether local or international.</w:t>
      </w:r>
    </w:p>
    <w:p>
      <w:r>
        <w:rPr>
          <w:b w:val="0"/>
          <w:color w:val="333333"/>
          <w:sz w:val="22"/>
        </w:rPr>
      </w:r>
    </w:p>
    <w:p>
      <w:pPr>
        <w:pStyle w:val="ListBullet"/>
      </w:pPr>
      <w:r>
        <w:rPr>
          <w:color w:val="333333"/>
          <w:sz w:val="22"/>
        </w:rPr>
        <w:t>Structured conversion of clinical questions into PICO-formatted research protocols with appropriate study design, sample size calculation, and methodology selection</w:t>
      </w:r>
    </w:p>
    <w:p>
      <w:pPr>
        <w:pStyle w:val="ListBullet"/>
      </w:pPr>
      <w:r>
        <w:rPr>
          <w:color w:val="333333"/>
          <w:sz w:val="22"/>
        </w:rPr>
        <w:t>Dedicated biostatisticians who execute the analysis and produce publication-ready tables and figures</w:t>
      </w:r>
    </w:p>
    <w:p>
      <w:pPr>
        <w:pStyle w:val="ListBullet"/>
      </w:pPr>
      <w:r>
        <w:rPr>
          <w:color w:val="333333"/>
          <w:sz w:val="22"/>
        </w:rPr>
        <w:t>Specialized medical writers who draft manuscripts in accordance with ICMJE guidelines and target journal requirements</w:t>
      </w:r>
    </w:p>
    <w:p>
      <w:pPr>
        <w:pStyle w:val="ListBullet"/>
      </w:pPr>
      <w:r>
        <w:rPr>
          <w:color w:val="333333"/>
          <w:sz w:val="22"/>
        </w:rPr>
        <w:t>Strategic journal selection aligned with your specific promotion pathway — we identify the optimal journal based on specialty, impact factor, indexing status, and promotion committee preferences</w:t>
      </w:r>
    </w:p>
    <w:p>
      <w:pPr>
        <w:pStyle w:val="ListBullet"/>
      </w:pPr>
      <w:r>
        <w:rPr>
          <w:color w:val="333333"/>
          <w:sz w:val="22"/>
        </w:rPr>
        <w:t>Complete submission management: cover letters, reviewer responses, revision cycles, and follow-through to acceptance</w:t>
      </w:r>
    </w:p>
    <w:p>
      <w:pPr>
        <w:pStyle w:val="ListBullet"/>
      </w:pPr>
      <w:r>
        <w:rPr>
          <w:color w:val="333333"/>
          <w:sz w:val="22"/>
        </w:rPr>
        <w:t>Support across all study types: systematic reviews, meta-analyses, observational studies, case series, clinical guidelines, narrative reviews, and textbook chapters</w:t>
      </w:r>
    </w:p>
    <w:p>
      <w:r>
        <w:rPr>
          <w:b w:val="0"/>
          <w:color w:val="333333"/>
          <w:sz w:val="22"/>
        </w:rPr>
      </w:r>
    </w:p>
    <w:p>
      <w:r>
        <w:rPr>
          <w:b/>
          <w:color w:val="333333"/>
          <w:sz w:val="22"/>
        </w:rPr>
        <w:t>Critical distinction: We do not limit you to publishing in any specific journal. We select with you the best venue for each piece of work based on your academic requirements.</w:t>
      </w:r>
    </w:p>
    <w:p>
      <w:pPr>
        <w:pStyle w:val="Heading2"/>
      </w:pPr>
      <w:r>
        <w:rPr>
          <w:color w:val="1E3A5F"/>
        </w:rPr>
        <w:t>3.2 Pillar Two: Evidence-Based Public Voice</w:t>
      </w:r>
    </w:p>
    <w:p>
      <w:r>
        <w:rPr>
          <w:b w:val="0"/>
          <w:color w:val="333333"/>
          <w:sz w:val="22"/>
        </w:rPr>
        <w:t>We build and manage a digital presence that reflects your scientific authority and creates documented community impact.</w:t>
      </w:r>
    </w:p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Every piece of public content follows our Evidence-Based Content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Peer-Reviewed Statistic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A relevant data point from current medical literature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Medical Explanation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Your expert interpretation of the clinical significance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Clinical Experience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A practical insight from your daily practice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Public Health Message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A clear, actionable takeaway for the audience</w:t>
            </w:r>
          </w:p>
        </w:tc>
      </w:tr>
    </w:tbl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We deliver monthly impact reports documenting follower growth, engagement rates, reach statistics, and community impact metrics — all formatted for inclusion in promotion files.</w:t>
      </w:r>
    </w:p>
    <w:p>
      <w:pPr>
        <w:pStyle w:val="Heading2"/>
      </w:pPr>
      <w:r>
        <w:rPr>
          <w:color w:val="1E3A5F"/>
        </w:rPr>
        <w:t>3.3 Pillar Three: Educational Products and Curriculum Development</w:t>
      </w:r>
    </w:p>
    <w:p>
      <w:r>
        <w:rPr>
          <w:b w:val="0"/>
          <w:color w:val="333333"/>
          <w:sz w:val="22"/>
        </w:rPr>
        <w:t>We design, develop, and publish training curricula under your name that are accredited by SCFHS as Continuing Medical Education programs.</w:t>
      </w:r>
    </w:p>
    <w:p>
      <w:r>
        <w:rPr>
          <w:b w:val="0"/>
          <w:color w:val="333333"/>
          <w:sz w:val="22"/>
        </w:rPr>
      </w:r>
    </w:p>
    <w:p>
      <w:pPr>
        <w:pStyle w:val="ListBullet"/>
      </w:pPr>
      <w:r>
        <w:rPr>
          <w:color w:val="333333"/>
          <w:sz w:val="22"/>
        </w:rPr>
        <w:t>Collaborative curriculum design based on your expertise and identified educational gaps</w:t>
      </w:r>
    </w:p>
    <w:p>
      <w:pPr>
        <w:pStyle w:val="ListBullet"/>
      </w:pPr>
      <w:r>
        <w:rPr>
          <w:color w:val="333333"/>
          <w:sz w:val="22"/>
        </w:rPr>
        <w:t>Professional writing, structuring, and formatting with learning objectives and competency frameworks</w:t>
      </w:r>
    </w:p>
    <w:p>
      <w:pPr>
        <w:pStyle w:val="ListBullet"/>
      </w:pPr>
      <w:r>
        <w:rPr>
          <w:color w:val="333333"/>
          <w:sz w:val="22"/>
        </w:rPr>
        <w:t>SCFHS accreditation submission through our accredited training academy</w:t>
      </w:r>
    </w:p>
    <w:p>
      <w:pPr>
        <w:pStyle w:val="ListBullet"/>
      </w:pPr>
      <w:r>
        <w:rPr>
          <w:color w:val="333333"/>
          <w:sz w:val="22"/>
        </w:rPr>
        <w:t>Delivery through our academy, your hospital, or your university — with full logistical support</w:t>
      </w:r>
    </w:p>
    <w:p>
      <w:pPr>
        <w:pStyle w:val="ListBullet"/>
      </w:pPr>
      <w:r>
        <w:rPr>
          <w:color w:val="333333"/>
          <w:sz w:val="22"/>
        </w:rPr>
        <w:t>Every teaching hour automatically recorded in a digital Learning Passport synced with SCFHS</w:t>
      </w:r>
    </w:p>
    <w:p>
      <w:pPr>
        <w:pStyle w:val="Heading2"/>
      </w:pPr>
      <w:r>
        <w:rPr>
          <w:color w:val="1E3A5F"/>
        </w:rPr>
        <w:t>3.4 Pillar Four: Virtual or Physical Clinical Practice</w:t>
      </w:r>
    </w:p>
    <w:p>
      <w:r>
        <w:rPr>
          <w:b w:val="0"/>
          <w:color w:val="333333"/>
          <w:sz w:val="22"/>
        </w:rPr>
        <w:t>For physicians who wish to establish their own clinical practice, we build and operate the entire infrastructure. You focus exclusively on patient care.</w:t>
      </w:r>
    </w:p>
    <w:p>
      <w:r>
        <w:rPr>
          <w:b w:val="0"/>
          <w:color w:val="333333"/>
          <w:sz w:val="22"/>
        </w:rPr>
      </w:r>
    </w:p>
    <w:p>
      <w:pPr>
        <w:pStyle w:val="ListBullet"/>
      </w:pPr>
      <w:r>
        <w:rPr>
          <w:color w:val="333333"/>
          <w:sz w:val="22"/>
        </w:rPr>
        <w:t>Virtual or physical clinic setup within our national clinic network</w:t>
      </w:r>
    </w:p>
    <w:p>
      <w:pPr>
        <w:pStyle w:val="ListBullet"/>
      </w:pPr>
      <w:r>
        <w:rPr>
          <w:color w:val="333333"/>
          <w:sz w:val="22"/>
        </w:rPr>
        <w:t>Complete operational management: MOH licensing, insurance credentialing, appointment systems, electronic health records, billing</w:t>
      </w:r>
    </w:p>
    <w:p>
      <w:pPr>
        <w:pStyle w:val="ListBullet"/>
      </w:pPr>
      <w:r>
        <w:rPr>
          <w:color w:val="333333"/>
          <w:sz w:val="22"/>
        </w:rPr>
        <w:t>In-clinic pharmacy for direct prescription dispensing</w:t>
      </w:r>
    </w:p>
    <w:p>
      <w:pPr>
        <w:pStyle w:val="ListBullet"/>
      </w:pPr>
      <w:r>
        <w:rPr>
          <w:color w:val="333333"/>
          <w:sz w:val="22"/>
        </w:rPr>
        <w:t>Dedicated administrative team handling all non-clinical operations</w:t>
      </w:r>
    </w:p>
    <w:p>
      <w:pPr>
        <w:pStyle w:val="ListBullet"/>
      </w:pPr>
      <w:r>
        <w:rPr>
          <w:color w:val="333333"/>
          <w:sz w:val="22"/>
        </w:rPr>
        <w:t>Patient data (with consent) can fuel your research projects</w:t>
      </w:r>
    </w:p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Available ownership models: Fully Owned | Partnership | Fully Managed</w:t>
      </w:r>
    </w:p>
    <w:p>
      <w:pPr>
        <w:pStyle w:val="Heading2"/>
      </w:pPr>
      <w:r>
        <w:rPr>
          <w:color w:val="1E3A5F"/>
        </w:rPr>
        <w:t>3.5 Pillar Five: Clinical Research and Trials</w:t>
      </w:r>
    </w:p>
    <w:p>
      <w:r>
        <w:rPr>
          <w:b w:val="0"/>
          <w:color w:val="333333"/>
          <w:sz w:val="22"/>
        </w:rPr>
        <w:t>We position you as a Principal Investigator in clinical trials and real-world evidence studies.</w:t>
      </w:r>
    </w:p>
    <w:p>
      <w:r>
        <w:rPr>
          <w:b w:val="0"/>
          <w:color w:val="333333"/>
          <w:sz w:val="22"/>
        </w:rPr>
      </w:r>
    </w:p>
    <w:p>
      <w:pPr>
        <w:pStyle w:val="ListBullet"/>
      </w:pPr>
      <w:r>
        <w:rPr>
          <w:color w:val="333333"/>
          <w:sz w:val="22"/>
        </w:rPr>
        <w:t>Access to our SFDA-licensed clinical research organization (License: CT-2025-DR-0002) for Phase I-IV trial participation</w:t>
      </w:r>
    </w:p>
    <w:p>
      <w:pPr>
        <w:pStyle w:val="ListBullet"/>
      </w:pPr>
      <w:r>
        <w:rPr>
          <w:color w:val="333333"/>
          <w:sz w:val="22"/>
        </w:rPr>
        <w:t>Ready-built Clinical Trial Units with trained coordinators and Ethics Committee infrastructure</w:t>
      </w:r>
    </w:p>
    <w:p>
      <w:pPr>
        <w:pStyle w:val="ListBullet"/>
      </w:pPr>
      <w:r>
        <w:rPr>
          <w:color w:val="333333"/>
          <w:sz w:val="22"/>
        </w:rPr>
        <w:t>Real-World Evidence studies using Saudi population data from our clinic network</w:t>
      </w:r>
    </w:p>
    <w:p>
      <w:pPr>
        <w:pStyle w:val="ListBullet"/>
      </w:pPr>
      <w:r>
        <w:rPr>
          <w:color w:val="333333"/>
          <w:sz w:val="22"/>
        </w:rPr>
        <w:t>Bioequivalence study capability through our SFDA-licensed BE center</w:t>
      </w:r>
    </w:p>
    <w:p>
      <w:pPr>
        <w:pStyle w:val="ListBullet"/>
      </w:pPr>
      <w:r>
        <w:rPr>
          <w:color w:val="333333"/>
          <w:sz w:val="22"/>
        </w:rPr>
        <w:t>Direct connections to pharmaceutical company sponsors through established industry relationships</w:t>
      </w:r>
    </w:p>
    <w:p>
      <w:pPr>
        <w:pStyle w:val="Heading2"/>
      </w:pPr>
      <w:r>
        <w:rPr>
          <w:color w:val="1E3A5F"/>
        </w:rPr>
        <w:t>3.6 Pillar Six: Professional Protection</w:t>
      </w:r>
    </w:p>
    <w:p>
      <w:pPr>
        <w:pStyle w:val="ListBullet"/>
      </w:pPr>
      <w:r>
        <w:rPr>
          <w:color w:val="333333"/>
          <w:sz w:val="22"/>
        </w:rPr>
        <w:t>Medical malpractice insurance bundled with 30 SCFHS-accredited CME hours annually</w:t>
      </w:r>
    </w:p>
    <w:p>
      <w:pPr>
        <w:pStyle w:val="ListBullet"/>
      </w:pPr>
      <w:r>
        <w:rPr>
          <w:color w:val="333333"/>
          <w:sz w:val="22"/>
        </w:rPr>
        <w:t>Digital Learning Passport tracking all professional development and syncing with SCFHS</w:t>
      </w:r>
    </w:p>
    <w:p>
      <w:pPr>
        <w:pStyle w:val="ListBullet"/>
      </w:pPr>
      <w:r>
        <w:rPr>
          <w:color w:val="333333"/>
          <w:sz w:val="22"/>
        </w:rPr>
        <w:t>Clinical evidence platform with real-time decision support: Live Guidelines, Medical Necessity Criteria, and clinical pathways</w:t>
      </w:r>
    </w:p>
    <w:p>
      <w:r>
        <w:br w:type="page"/>
      </w:r>
    </w:p>
    <w:p>
      <w:pPr>
        <w:pStyle w:val="Heading1"/>
      </w:pPr>
      <w:r>
        <w:rPr>
          <w:color w:val="1E3A5F"/>
        </w:rPr>
        <w:t>4. Your Growth Pathway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Cumulative Impact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Month 1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Research plan developed; content strategy launched; Learning Passport activated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Foundation established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Month 3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First research project in development; digital content reaching thousands; first curriculum in design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Momentum building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Month 6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First publication accepted in indexed journal; 5,000+ followers; first CME course accredited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Visible results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Year 1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2-3 published papers; 10,000+ followers; curriculum being taught; conference keynote speaker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Professional entity operational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Year 3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8+ publications; national guideline committee member; PI in clinical trial; influential personal brand; advisory board invitations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Career transformation 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5. Why This Partnership Cannot Be Replicated</w:t>
      </w:r>
    </w:p>
    <w:p>
      <w:r>
        <w:rPr>
          <w:b w:val="0"/>
          <w:color w:val="333333"/>
          <w:sz w:val="22"/>
        </w:rPr>
        <w:t>Any individual provider can offer one component. What no competitor can replicate is the integrated infrastructure that connects all of these into a single, compounding system.</w:t>
      </w:r>
    </w:p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The Theeb Ecosystem comprises:</w:t>
      </w:r>
    </w:p>
    <w:p>
      <w:pPr>
        <w:pStyle w:val="ListBullet"/>
      </w:pPr>
      <w:r>
        <w:rPr>
          <w:color w:val="333333"/>
          <w:sz w:val="22"/>
        </w:rPr>
        <w:t>An AI-powered research factory that converts clinical questions into published evidence</w:t>
      </w:r>
    </w:p>
    <w:p>
      <w:pPr>
        <w:pStyle w:val="ListBullet"/>
      </w:pPr>
      <w:r>
        <w:rPr>
          <w:color w:val="333333"/>
          <w:sz w:val="22"/>
        </w:rPr>
        <w:t>A scientific publishing house with three indexed journals</w:t>
      </w:r>
    </w:p>
    <w:p>
      <w:pPr>
        <w:pStyle w:val="ListBullet"/>
      </w:pPr>
      <w:r>
        <w:rPr>
          <w:color w:val="333333"/>
          <w:sz w:val="22"/>
        </w:rPr>
        <w:t>An SCFHS-accredited training academy</w:t>
      </w:r>
    </w:p>
    <w:p>
      <w:pPr>
        <w:pStyle w:val="ListBullet"/>
      </w:pPr>
      <w:r>
        <w:rPr>
          <w:color w:val="333333"/>
          <w:sz w:val="22"/>
        </w:rPr>
        <w:t>A sovereign clinical evidence platform with 250,000+ medical knowledge nodes</w:t>
      </w:r>
    </w:p>
    <w:p>
      <w:pPr>
        <w:pStyle w:val="ListBullet"/>
      </w:pPr>
      <w:r>
        <w:rPr>
          <w:color w:val="333333"/>
          <w:sz w:val="22"/>
        </w:rPr>
        <w:t>A national clinic network scaling to 71 locations</w:t>
      </w:r>
    </w:p>
    <w:p>
      <w:pPr>
        <w:pStyle w:val="ListBullet"/>
      </w:pPr>
      <w:r>
        <w:rPr>
          <w:color w:val="333333"/>
          <w:sz w:val="22"/>
        </w:rPr>
        <w:t>An SFDA-licensed clinical research organization</w:t>
      </w:r>
    </w:p>
    <w:p>
      <w:pPr>
        <w:pStyle w:val="ListBullet"/>
      </w:pPr>
      <w:r>
        <w:rPr>
          <w:color w:val="333333"/>
          <w:sz w:val="22"/>
        </w:rPr>
        <w:t>An SFDA-licensed bioequivalence center</w:t>
      </w:r>
    </w:p>
    <w:p>
      <w:pPr>
        <w:pStyle w:val="ListBullet"/>
      </w:pPr>
      <w:r>
        <w:rPr>
          <w:color w:val="333333"/>
          <w:sz w:val="22"/>
        </w:rPr>
        <w:t>A medical insurance agency</w:t>
      </w:r>
    </w:p>
    <w:p>
      <w:pPr>
        <w:pStyle w:val="ListBullet"/>
      </w:pPr>
      <w:r>
        <w:rPr>
          <w:color w:val="333333"/>
          <w:sz w:val="22"/>
        </w:rPr>
        <w:t>A clinical intelligence infrastructure powered by sovereign AI</w:t>
      </w:r>
    </w:p>
    <w:p>
      <w:r>
        <w:rPr>
          <w:b w:val="0"/>
          <w:color w:val="333333"/>
          <w:sz w:val="22"/>
        </w:rPr>
      </w:r>
    </w:p>
    <w:p>
      <w:r>
        <w:rPr>
          <w:b/>
          <w:color w:val="333333"/>
          <w:sz w:val="22"/>
        </w:rPr>
        <w:t>All of this in one ecosystem. There is nothing like it in the Middle East.</w:t>
      </w:r>
    </w:p>
    <w:p>
      <w:r>
        <w:br w:type="page"/>
      </w:r>
    </w:p>
    <w:p>
      <w:pPr>
        <w:pStyle w:val="Heading1"/>
      </w:pPr>
      <w:r>
        <w:rPr>
          <w:color w:val="1E3A5F"/>
        </w:rPr>
        <w:t>6. Engagement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1. Initial Consultation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Confidential meeting to understand your academic position, promotion requirements, and professional goals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1-2 hours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2. Needs Assessment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Evaluation of which pillars are most relevant; customized plan design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1 week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3. Custom Partnership Plan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Detailed plan: research pipeline, content strategy, curriculum opportunities, clinic options, timeline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1 week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4. Launch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Partnership agreement signed; dedicated team assigned; first projects initiated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Month 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5. Quarterly Review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Progress reviews with milestone tracking, impact documentation, and plan adjustment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Ongoing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About the Theeb Ecosystem</w:t>
      </w:r>
    </w:p>
    <w:p>
      <w:r>
        <w:rPr>
          <w:b w:val="0"/>
          <w:color w:val="333333"/>
          <w:sz w:val="22"/>
        </w:rPr>
        <w:t>The Theeb Ecosystem is a network of twelve specialized healthcare entities organized into four strategic groups: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120"/>
            <w:shd w:fill="1E3A5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Entities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Theeb Knowledge Group (TKG)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Scientific credibility and knowledge production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Waraqa Publishing | Nama Medical (CRO) | Nama Academy | Nama Bio | Evidence Platform | PubHelper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Theeb Value Group (TVG)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Financial intelligence and value-based healthcare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Integra RCM | Nexus MGA | VBH Company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Theeb Health Delivery Group (THDG)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Patient-facing clinical delivery</w:t>
            </w:r>
          </w:p>
        </w:tc>
        <w:tc>
          <w:tcPr>
            <w:tcW w:type="dxa" w:w="3120"/>
          </w:tcPr>
          <w:p>
            <w:r/>
            <w:r>
              <w:rPr>
                <w:color w:val="333333"/>
                <w:sz w:val="20"/>
              </w:rPr>
              <w:t>Welunion Clinics | Integrative Health | TAP Pharmacy</w:t>
            </w:r>
          </w:p>
        </w:tc>
      </w:tr>
      <w:tr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Theeb Technology Group (TTG)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AI infrastructure and clinical intelligence</w:t>
            </w:r>
          </w:p>
        </w:tc>
        <w:tc>
          <w:tcPr>
            <w:tcW w:type="dxa" w:w="3120"/>
            <w:shd w:fill="F0F4F8" w:val="clear"/>
          </w:tcPr>
          <w:p>
            <w:r/>
            <w:r>
              <w:rPr>
                <w:color w:val="333333"/>
                <w:sz w:val="20"/>
              </w:rPr>
              <w:t>Clinical Intelligence Infrastructure (CII)</w:t>
            </w:r>
          </w:p>
        </w:tc>
      </w:tr>
    </w:tbl>
    <w:p>
      <w:r>
        <w:rPr>
          <w:b w:val="0"/>
          <w:color w:val="333333"/>
          <w:sz w:val="22"/>
        </w:rPr>
      </w:r>
    </w:p>
    <w:p>
      <w:r>
        <w:br w:type="page"/>
      </w:r>
    </w:p>
    <w:p>
      <w:pPr>
        <w:pStyle w:val="Heading1"/>
      </w:pPr>
      <w:r>
        <w:rPr>
          <w:color w:val="1E3A5F"/>
        </w:rPr>
        <w:t>Next Step</w:t>
      </w:r>
    </w:p>
    <w:p>
      <w:r>
        <w:rPr>
          <w:b w:val="0"/>
          <w:color w:val="333333"/>
          <w:sz w:val="22"/>
        </w:rPr>
        <w:t>Every idea in your mind deserves to become a published paper. Every clinical experience you carry deserves to reach the community. Every day without a system managing your professional growth is a missed opportunity.</w:t>
      </w:r>
    </w:p>
    <w:p>
      <w:r>
        <w:rPr>
          <w:b w:val="0"/>
          <w:color w:val="333333"/>
          <w:sz w:val="22"/>
        </w:rPr>
      </w:r>
    </w:p>
    <w:p>
      <w:r>
        <w:rPr>
          <w:b w:val="0"/>
          <w:color w:val="333333"/>
          <w:sz w:val="22"/>
        </w:rPr>
        <w:t>We invite you to a confidential initial consultation to explore how this partnership can serve your specific professional goals.</w:t>
      </w:r>
    </w:p>
    <w:p>
      <w:r>
        <w:rPr>
          <w:b w:val="0"/>
          <w:color w:val="333333"/>
          <w:sz w:val="22"/>
        </w:rPr>
      </w:r>
    </w:p>
    <w:p>
      <w:r>
        <w:rPr>
          <w:b/>
          <w:color w:val="1E3A5F"/>
          <w:sz w:val="24"/>
        </w:rPr>
        <w:t>Dr. Theeb Al-Theeb</w:t>
      </w:r>
    </w:p>
    <w:p>
      <w:r>
        <w:rPr>
          <w:b w:val="0"/>
          <w:color w:val="333333"/>
          <w:sz w:val="22"/>
        </w:rPr>
        <w:t>Founder and Group CEO, Theeb Ecosystem</w:t>
      </w:r>
    </w:p>
    <w:p>
      <w:r>
        <w:rPr>
          <w:b w:val="0"/>
          <w:color w:val="333333"/>
          <w:sz w:val="22"/>
        </w:rPr>
        <w:t>theeb@namamed.sa</w:t>
      </w:r>
    </w:p>
    <w:p>
      <w:r>
        <w:rPr>
          <w:b w:val="0"/>
          <w:color w:val="333333"/>
          <w:sz w:val="22"/>
        </w:rPr>
        <w:t>+966 50 052 0242</w:t>
      </w:r>
    </w:p>
    <w:p>
      <w:r>
        <w:rPr>
          <w:b w:val="0"/>
          <w:color w:val="333333"/>
          <w:sz w:val="22"/>
        </w:rPr>
        <w:t>nama.med.sa</w:t>
      </w:r>
    </w:p>
    <w:p>
      <w:r>
        <w:rPr>
          <w:b w:val="0"/>
          <w:color w:val="333333"/>
          <w:sz w:val="22"/>
        </w:rPr>
      </w:r>
    </w:p>
    <w:p>
      <w:pPr>
        <w:jc w:val="center"/>
      </w:pPr>
      <w:r>
        <w:rPr>
          <w:b/>
          <w:i/>
          <w:color w:val="C9A84C"/>
          <w:sz w:val="26"/>
        </w:rPr>
        <w:t>We build with you. We do not sell to you.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