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9A84C"/>
          <w:sz w:val="28"/>
        </w:rPr>
        <w:t>THEEB ECOSYSTEM</w:t>
      </w:r>
    </w:p>
    <w:p/>
    <w:p>
      <w:pPr>
        <w:jc w:val="center"/>
      </w:pPr>
      <w:r>
        <w:rPr>
          <w:b/>
          <w:color w:val="1E3A5F"/>
          <w:sz w:val="52"/>
        </w:rPr>
        <w:t>Strategic Infrastructure</w:t>
        <w:br/>
        <w:t>Partnership Proposal</w:t>
      </w:r>
    </w:p>
    <w:p/>
    <w:p>
      <w:pPr>
        <w:jc w:val="center"/>
      </w:pPr>
      <w:r>
        <w:rPr>
          <w:color w:val="333333"/>
          <w:sz w:val="28"/>
        </w:rPr>
        <w:t>Scientific Society Excellence Program</w:t>
      </w:r>
    </w:p>
    <w:p/>
    <w:p/>
    <w:p/>
    <w:p/>
    <w:p>
      <w:pPr>
        <w:jc w:val="center"/>
      </w:pPr>
      <w:r>
        <w:rPr>
          <w:b/>
          <w:color w:val="C9A84C"/>
          <w:sz w:val="22"/>
        </w:rPr>
        <w:t>CONFIDENTIAL</w:t>
      </w:r>
    </w:p>
    <w:p>
      <w:pPr>
        <w:jc w:val="center"/>
      </w:pPr>
      <w:r>
        <w:rPr>
          <w:color w:val="333333"/>
          <w:sz w:val="22"/>
        </w:rPr>
        <w:t>March 2026</w:t>
      </w:r>
    </w:p>
    <w:p>
      <w:r>
        <w:br w:type="page"/>
      </w:r>
    </w:p>
    <w:p>
      <w:pPr>
        <w:pStyle w:val="Heading1"/>
      </w:pPr>
      <w:r>
        <w:rPr>
          <w:color w:val="1E3A5F"/>
        </w:rPr>
        <w:t>1. Executive Summary</w:t>
      </w:r>
    </w:p>
    <w:p>
      <w:r>
        <w:rPr>
          <w:b w:val="0"/>
          <w:color w:val="333333"/>
          <w:sz w:val="22"/>
        </w:rPr>
        <w:t>The Theeb Ecosystem invites Saudi scientific societies to a strategic infrastructure partnership that transforms their operational capabilities, accelerates their performance classification, and generates sustainable revenue — at zero upfront investment.</w:t>
      </w:r>
    </w:p>
    <w:p>
      <w:r>
        <w:rPr>
          <w:b w:val="0"/>
          <w:color w:val="333333"/>
          <w:sz w:val="22"/>
        </w:rPr>
      </w:r>
    </w:p>
    <w:p>
      <w:r>
        <w:rPr>
          <w:b w:val="0"/>
          <w:color w:val="333333"/>
          <w:sz w:val="22"/>
        </w:rPr>
        <w:t>Saudi Arabia is home to over 80 registered scientific health societies. The majority operate in Category C or D — not because they lack clinical expertise, but because they lack the operational infrastructure required to score well across the eight performance evaluation categories.</w:t>
      </w:r>
    </w:p>
    <w:p>
      <w:r>
        <w:rPr>
          <w:b w:val="0"/>
          <w:color w:val="333333"/>
          <w:sz w:val="22"/>
        </w:rPr>
      </w:r>
    </w:p>
    <w:p>
      <w:r>
        <w:rPr>
          <w:b w:val="0"/>
          <w:color w:val="333333"/>
          <w:sz w:val="22"/>
        </w:rPr>
        <w:t>The Theeb Ecosystem has built a complete infrastructure stack that addresses every one of these categories. We deploy this infrastructure behind the scenes, under the society’s brand and authority, and share revenue generated through journal publishing, CME programs, and conference management. The society retains 40-60% of all revenue. The society retains all academic credit, authorship, and reputation.</w:t>
      </w:r>
    </w:p>
    <w:p>
      <w:r>
        <w:br w:type="page"/>
      </w:r>
    </w:p>
    <w:p>
      <w:pPr>
        <w:pStyle w:val="Heading1"/>
      </w:pPr>
      <w:r>
        <w:rPr>
          <w:color w:val="1E3A5F"/>
        </w:rPr>
        <w:t>2. The Evaluation Challenge</w:t>
      </w:r>
    </w:p>
    <w:p>
      <w:r>
        <w:rPr>
          <w:b w:val="0"/>
          <w:color w:val="333333"/>
          <w:sz w:val="22"/>
        </w:rPr>
        <w:t>Scientific health societies are evaluated across eight categories with significant implications for funding, reputation, and sustainability:</w:t>
      </w:r>
    </w:p>
    <w:p>
      <w:r>
        <w:rPr>
          <w:b w:val="0"/>
          <w:color w:val="333333"/>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5F" w:val="clear"/>
          </w:tcPr>
          <w:p>
            <w:pPr>
              <w:jc w:val="center"/>
            </w:pPr>
            <w:r/>
            <w:r>
              <w:rPr>
                <w:b/>
                <w:color w:val="FFFFFF"/>
                <w:sz w:val="20"/>
              </w:rPr>
              <w:t>Category</w:t>
            </w:r>
          </w:p>
        </w:tc>
        <w:tc>
          <w:tcPr>
            <w:tcW w:type="dxa" w:w="3120"/>
            <w:shd w:fill="1E3A5F" w:val="clear"/>
          </w:tcPr>
          <w:p>
            <w:pPr>
              <w:jc w:val="center"/>
            </w:pPr>
            <w:r/>
            <w:r>
              <w:rPr>
                <w:b/>
                <w:color w:val="FFFFFF"/>
                <w:sz w:val="20"/>
              </w:rPr>
              <w:t>Classification</w:t>
            </w:r>
          </w:p>
        </w:tc>
        <w:tc>
          <w:tcPr>
            <w:tcW w:type="dxa" w:w="3120"/>
            <w:shd w:fill="1E3A5F" w:val="clear"/>
          </w:tcPr>
          <w:p>
            <w:pPr>
              <w:jc w:val="center"/>
            </w:pPr>
            <w:r/>
            <w:r>
              <w:rPr>
                <w:b/>
                <w:color w:val="FFFFFF"/>
                <w:sz w:val="20"/>
              </w:rPr>
              <w:t>Reward Allocation</w:t>
            </w:r>
          </w:p>
        </w:tc>
      </w:tr>
      <w:tr>
        <w:tc>
          <w:tcPr>
            <w:tcW w:type="dxa" w:w="3120"/>
          </w:tcPr>
          <w:p>
            <w:r/>
            <w:r>
              <w:rPr>
                <w:color w:val="333333"/>
                <w:sz w:val="20"/>
              </w:rPr>
              <w:t>A (Top 25%)</w:t>
            </w:r>
          </w:p>
        </w:tc>
        <w:tc>
          <w:tcPr>
            <w:tcW w:type="dxa" w:w="3120"/>
          </w:tcPr>
          <w:p>
            <w:r/>
            <w:r>
              <w:rPr>
                <w:color w:val="333333"/>
                <w:sz w:val="20"/>
              </w:rPr>
              <w:t>900+ points; distinguished performance</w:t>
            </w:r>
          </w:p>
        </w:tc>
        <w:tc>
          <w:tcPr>
            <w:tcW w:type="dxa" w:w="3120"/>
          </w:tcPr>
          <w:p>
            <w:r/>
            <w:r>
              <w:rPr>
                <w:color w:val="333333"/>
                <w:sz w:val="20"/>
              </w:rPr>
              <w:t>40% of rewards budget + conference support</w:t>
            </w:r>
          </w:p>
        </w:tc>
      </w:tr>
      <w:tr>
        <w:tc>
          <w:tcPr>
            <w:tcW w:type="dxa" w:w="3120"/>
            <w:shd w:fill="F0F4F8" w:val="clear"/>
          </w:tcPr>
          <w:p>
            <w:r/>
            <w:r>
              <w:rPr>
                <w:color w:val="333333"/>
                <w:sz w:val="20"/>
              </w:rPr>
              <w:t>B (Second 25%)</w:t>
            </w:r>
          </w:p>
        </w:tc>
        <w:tc>
          <w:tcPr>
            <w:tcW w:type="dxa" w:w="3120"/>
            <w:shd w:fill="F0F4F8" w:val="clear"/>
          </w:tcPr>
          <w:p>
            <w:r/>
            <w:r>
              <w:rPr>
                <w:color w:val="333333"/>
                <w:sz w:val="20"/>
              </w:rPr>
              <w:t>Good standing</w:t>
            </w:r>
          </w:p>
        </w:tc>
        <w:tc>
          <w:tcPr>
            <w:tcW w:type="dxa" w:w="3120"/>
            <w:shd w:fill="F0F4F8" w:val="clear"/>
          </w:tcPr>
          <w:p>
            <w:r/>
            <w:r>
              <w:rPr>
                <w:color w:val="333333"/>
                <w:sz w:val="20"/>
              </w:rPr>
              <w:t>30% of rewards budget</w:t>
            </w:r>
          </w:p>
        </w:tc>
      </w:tr>
      <w:tr>
        <w:tc>
          <w:tcPr>
            <w:tcW w:type="dxa" w:w="3120"/>
          </w:tcPr>
          <w:p>
            <w:r/>
            <w:r>
              <w:rPr>
                <w:color w:val="333333"/>
                <w:sz w:val="20"/>
              </w:rPr>
              <w:t>C (Third 25%)</w:t>
            </w:r>
          </w:p>
        </w:tc>
        <w:tc>
          <w:tcPr>
            <w:tcW w:type="dxa" w:w="3120"/>
          </w:tcPr>
          <w:p>
            <w:r/>
            <w:r>
              <w:rPr>
                <w:color w:val="333333"/>
                <w:sz w:val="20"/>
              </w:rPr>
              <w:t>Underperforming</w:t>
            </w:r>
          </w:p>
        </w:tc>
        <w:tc>
          <w:tcPr>
            <w:tcW w:type="dxa" w:w="3120"/>
          </w:tcPr>
          <w:p>
            <w:r/>
            <w:r>
              <w:rPr>
                <w:color w:val="333333"/>
                <w:sz w:val="20"/>
              </w:rPr>
              <w:t>20% of rewards budget</w:t>
            </w:r>
          </w:p>
        </w:tc>
      </w:tr>
      <w:tr>
        <w:tc>
          <w:tcPr>
            <w:tcW w:type="dxa" w:w="3120"/>
            <w:shd w:fill="F0F4F8" w:val="clear"/>
          </w:tcPr>
          <w:p>
            <w:r/>
            <w:r>
              <w:rPr>
                <w:color w:val="333333"/>
                <w:sz w:val="20"/>
              </w:rPr>
              <w:t>D (Bottom 25%)</w:t>
            </w:r>
          </w:p>
        </w:tc>
        <w:tc>
          <w:tcPr>
            <w:tcW w:type="dxa" w:w="3120"/>
            <w:shd w:fill="F0F4F8" w:val="clear"/>
          </w:tcPr>
          <w:p>
            <w:r/>
            <w:r>
              <w:rPr>
                <w:color w:val="333333"/>
                <w:sz w:val="20"/>
              </w:rPr>
              <w:t>At risk</w:t>
            </w:r>
          </w:p>
        </w:tc>
        <w:tc>
          <w:tcPr>
            <w:tcW w:type="dxa" w:w="3120"/>
            <w:shd w:fill="F0F4F8" w:val="clear"/>
          </w:tcPr>
          <w:p>
            <w:r/>
            <w:r>
              <w:rPr>
                <w:color w:val="333333"/>
                <w:sz w:val="20"/>
              </w:rPr>
              <w:t>10% of rewards budget</w:t>
            </w:r>
          </w:p>
        </w:tc>
      </w:tr>
      <w:tr>
        <w:tc>
          <w:tcPr>
            <w:tcW w:type="dxa" w:w="3120"/>
          </w:tcPr>
          <w:p>
            <w:r/>
            <w:r>
              <w:rPr>
                <w:color w:val="333333"/>
                <w:sz w:val="20"/>
              </w:rPr>
              <w:t>E (New)</w:t>
            </w:r>
          </w:p>
        </w:tc>
        <w:tc>
          <w:tcPr>
            <w:tcW w:type="dxa" w:w="3120"/>
          </w:tcPr>
          <w:p>
            <w:r/>
            <w:r>
              <w:rPr>
                <w:color w:val="333333"/>
                <w:sz w:val="20"/>
              </w:rPr>
              <w:t>Societies under 11 months</w:t>
            </w:r>
          </w:p>
        </w:tc>
        <w:tc>
          <w:tcPr>
            <w:tcW w:type="dxa" w:w="3120"/>
          </w:tcPr>
          <w:p>
            <w:r/>
            <w:r>
              <w:rPr>
                <w:color w:val="333333"/>
                <w:sz w:val="20"/>
              </w:rPr>
              <w:t>SAR 50,000 first-year grant</w:t>
            </w:r>
          </w:p>
        </w:tc>
      </w:tr>
      <w:tr>
        <w:tc>
          <w:tcPr>
            <w:tcW w:type="dxa" w:w="3120"/>
            <w:shd w:fill="F0F4F8" w:val="clear"/>
          </w:tcPr>
          <w:p>
            <w:r/>
            <w:r>
              <w:rPr>
                <w:color w:val="333333"/>
                <w:sz w:val="20"/>
              </w:rPr>
              <w:t>F (Failed)</w:t>
            </w:r>
          </w:p>
        </w:tc>
        <w:tc>
          <w:tcPr>
            <w:tcW w:type="dxa" w:w="3120"/>
            <w:shd w:fill="F0F4F8" w:val="clear"/>
          </w:tcPr>
          <w:p>
            <w:r/>
            <w:r>
              <w:rPr>
                <w:color w:val="333333"/>
                <w:sz w:val="20"/>
              </w:rPr>
              <w:t>2 consecutive years failed</w:t>
            </w:r>
          </w:p>
        </w:tc>
        <w:tc>
          <w:tcPr>
            <w:tcW w:type="dxa" w:w="3120"/>
            <w:shd w:fill="F0F4F8" w:val="clear"/>
          </w:tcPr>
          <w:p>
            <w:r/>
            <w:r>
              <w:rPr>
                <w:color w:val="333333"/>
                <w:sz w:val="20"/>
              </w:rPr>
              <w:t>Warning; potential board dissolution</w:t>
            </w:r>
          </w:p>
        </w:tc>
      </w:tr>
    </w:tbl>
    <w:p>
      <w:r>
        <w:rPr>
          <w:b w:val="0"/>
          <w:color w:val="333333"/>
          <w:sz w:val="22"/>
        </w:rPr>
      </w:r>
    </w:p>
    <w:p>
      <w:r>
        <w:rPr>
          <w:b w:val="0"/>
          <w:color w:val="333333"/>
          <w:sz w:val="22"/>
        </w:rPr>
        <w:t>The total competitive scoring potential exceeds 1,950 points. The three highest-value categories — Activities and Conferences (450 points), Research and Publications (260 points), and Community Service (240 points) — total 950 points and are precisely where most societies fail. These are also precisely where the Theeb Ecosystem delivers the greatest impact.</w:t>
      </w:r>
    </w:p>
    <w:p>
      <w:r>
        <w:br w:type="page"/>
      </w:r>
    </w:p>
    <w:p>
      <w:pPr>
        <w:pStyle w:val="Heading1"/>
      </w:pPr>
      <w:r>
        <w:rPr>
          <w:color w:val="1E3A5F"/>
        </w:rPr>
        <w:t>3. Our Comprehensive Infrastructure Solution</w:t>
      </w:r>
    </w:p>
    <w:p>
      <w:r>
        <w:rPr>
          <w:b w:val="0"/>
          <w:color w:val="333333"/>
          <w:sz w:val="22"/>
        </w:rPr>
        <w:t>The following sections detail our infrastructure delivery mapped to each of the eight evaluation categories.</w:t>
      </w:r>
    </w:p>
    <w:p>
      <w:r>
        <w:rPr>
          <w:b w:val="0"/>
          <w:color w:val="333333"/>
          <w:sz w:val="22"/>
        </w:rPr>
      </w:r>
    </w:p>
    <w:p>
      <w:pPr>
        <w:pStyle w:val="Heading2"/>
      </w:pPr>
      <w:r>
        <w:rPr>
          <w:color w:val="1E3A5F"/>
        </w:rPr>
        <w:t>3.1 Administrative and Operational Organization (150 Points)</w:t>
      </w:r>
    </w:p>
    <w:p>
      <w:pPr>
        <w:pStyle w:val="ListBullet"/>
      </w:pPr>
      <w:r>
        <w:rPr>
          <w:color w:val="333333"/>
          <w:sz w:val="22"/>
        </w:rPr>
        <w:t>Governance documentation support: organizational charts, committee structures, role definitions</w:t>
      </w:r>
    </w:p>
    <w:p>
      <w:pPr>
        <w:pStyle w:val="ListBullet"/>
      </w:pPr>
      <w:r>
        <w:rPr>
          <w:color w:val="333333"/>
          <w:sz w:val="22"/>
        </w:rPr>
        <w:t>CPD committee operational support with detailed quarterly activity reports</w:t>
      </w:r>
    </w:p>
    <w:p>
      <w:pPr>
        <w:pStyle w:val="ListBullet"/>
      </w:pPr>
      <w:r>
        <w:rPr>
          <w:color w:val="333333"/>
          <w:sz w:val="22"/>
        </w:rPr>
        <w:t>Operational planning with measurable KPIs aligned to evaluation criteria</w:t>
      </w:r>
    </w:p>
    <w:p>
      <w:pPr>
        <w:pStyle w:val="ListBullet"/>
      </w:pPr>
      <w:r>
        <w:rPr>
          <w:color w:val="333333"/>
          <w:sz w:val="22"/>
        </w:rPr>
        <w:t>Semi-annual progress reports professionally prepared for submission</w:t>
      </w:r>
    </w:p>
    <w:p>
      <w:r>
        <w:rPr>
          <w:b/>
          <w:color w:val="333333"/>
          <w:sz w:val="22"/>
        </w:rPr>
        <w:t>Scoring impact: Up to 150/150 points captured.</w:t>
      </w:r>
    </w:p>
    <w:p>
      <w:pPr>
        <w:pStyle w:val="Heading2"/>
      </w:pPr>
      <w:r>
        <w:rPr>
          <w:color w:val="1E3A5F"/>
        </w:rPr>
        <w:t>3.2 Membership Growth and Management (400 Points)</w:t>
      </w:r>
    </w:p>
    <w:p>
      <w:pPr>
        <w:pStyle w:val="ListBullet"/>
      </w:pPr>
      <w:r>
        <w:rPr>
          <w:color w:val="333333"/>
          <w:sz w:val="22"/>
        </w:rPr>
        <w:t>Digital membership management platform tracking all member categories</w:t>
      </w:r>
    </w:p>
    <w:p>
      <w:pPr>
        <w:pStyle w:val="ListBullet"/>
      </w:pPr>
      <w:r>
        <w:rPr>
          <w:color w:val="333333"/>
          <w:sz w:val="22"/>
        </w:rPr>
        <w:t>Member benefits: discounted CME, clinical evidence platform, and research support</w:t>
      </w:r>
    </w:p>
    <w:p>
      <w:pPr>
        <w:pStyle w:val="ListBullet"/>
      </w:pPr>
      <w:r>
        <w:rPr>
          <w:color w:val="333333"/>
          <w:sz w:val="22"/>
        </w:rPr>
        <w:t>Conference attendance support for members (local and international)</w:t>
      </w:r>
    </w:p>
    <w:p>
      <w:pPr>
        <w:pStyle w:val="ListBullet"/>
      </w:pPr>
      <w:r>
        <w:rPr>
          <w:color w:val="333333"/>
          <w:sz w:val="22"/>
        </w:rPr>
        <w:t>Membership growth strategy leveraging our 2,000+ physician/year training pipeline</w:t>
      </w:r>
    </w:p>
    <w:p>
      <w:r>
        <w:rPr>
          <w:b/>
          <w:color w:val="333333"/>
          <w:sz w:val="22"/>
        </w:rPr>
        <w:t>Scoring impact: Up to 400/400 points captured.</w:t>
      </w:r>
    </w:p>
    <w:p>
      <w:pPr>
        <w:pStyle w:val="Heading2"/>
      </w:pPr>
      <w:r>
        <w:rPr>
          <w:color w:val="1E3A5F"/>
        </w:rPr>
        <w:t>3.3 Digital Presence (90 Points)</w:t>
      </w:r>
    </w:p>
    <w:p>
      <w:pPr>
        <w:pStyle w:val="ListBullet"/>
      </w:pPr>
      <w:r>
        <w:rPr>
          <w:color w:val="333333"/>
          <w:sz w:val="22"/>
        </w:rPr>
        <w:t>Professionally designed bilingual website with all evaluation requirements built in</w:t>
      </w:r>
    </w:p>
    <w:p>
      <w:pPr>
        <w:pStyle w:val="ListBullet"/>
      </w:pPr>
      <w:r>
        <w:rPr>
          <w:color w:val="333333"/>
          <w:sz w:val="22"/>
        </w:rPr>
        <w:t>Active social media management across Twitter plus two additional platforms</w:t>
      </w:r>
    </w:p>
    <w:p>
      <w:pPr>
        <w:pStyle w:val="ListBullet"/>
      </w:pPr>
      <w:r>
        <w:rPr>
          <w:color w:val="333333"/>
          <w:sz w:val="22"/>
        </w:rPr>
        <w:t>Regular scientific content and announcements from our 250,000+ node knowledge graph</w:t>
      </w:r>
    </w:p>
    <w:p>
      <w:pPr>
        <w:pStyle w:val="ListBullet"/>
      </w:pPr>
      <w:r>
        <w:rPr>
          <w:color w:val="333333"/>
          <w:sz w:val="22"/>
        </w:rPr>
        <w:t>All institutional information maintained: bylaws, strategic plan, board members, committees</w:t>
      </w:r>
    </w:p>
    <w:p>
      <w:r>
        <w:rPr>
          <w:b/>
          <w:color w:val="333333"/>
          <w:sz w:val="22"/>
        </w:rPr>
        <w:t>Scoring impact: Up to 90/90 points captured.</w:t>
      </w:r>
    </w:p>
    <w:p>
      <w:pPr>
        <w:pStyle w:val="Heading2"/>
      </w:pPr>
      <w:r>
        <w:rPr>
          <w:color w:val="1E3A5F"/>
        </w:rPr>
        <w:t>3.4 Activities and Conferences (450 Points)</w:t>
      </w:r>
    </w:p>
    <w:p>
      <w:r>
        <w:rPr>
          <w:b w:val="0"/>
          <w:color w:val="333333"/>
          <w:sz w:val="22"/>
        </w:rPr>
        <w:t>This is the highest-value category and the area where most societies struggle most.</w:t>
      </w:r>
    </w:p>
    <w:p>
      <w:pPr>
        <w:pStyle w:val="ListBullet"/>
      </w:pPr>
      <w:r>
        <w:rPr>
          <w:color w:val="333333"/>
          <w:sz w:val="22"/>
        </w:rPr>
        <w:t>Year-round SCFHS-accredited CME activities in your society’s name — every quarter</w:t>
      </w:r>
    </w:p>
    <w:p>
      <w:pPr>
        <w:pStyle w:val="ListBullet"/>
      </w:pPr>
      <w:r>
        <w:rPr>
          <w:color w:val="333333"/>
          <w:sz w:val="22"/>
        </w:rPr>
        <w:t>SCFHS Accredited Activity Provider status preparation (50 points)</w:t>
      </w:r>
    </w:p>
    <w:p>
      <w:pPr>
        <w:pStyle w:val="ListBullet"/>
      </w:pPr>
      <w:r>
        <w:rPr>
          <w:color w:val="333333"/>
          <w:sz w:val="22"/>
        </w:rPr>
        <w:t>Complete annual conference management: speakers, workshops, booths, sponsorships, logistics</w:t>
      </w:r>
    </w:p>
    <w:p>
      <w:pPr>
        <w:pStyle w:val="ListBullet"/>
      </w:pPr>
      <w:r>
        <w:rPr>
          <w:color w:val="333333"/>
          <w:sz w:val="22"/>
        </w:rPr>
        <w:t>CME hour generation: 30+ accredited hours annually</w:t>
      </w:r>
    </w:p>
    <w:p>
      <w:pPr>
        <w:pStyle w:val="ListBullet"/>
      </w:pPr>
      <w:r>
        <w:rPr>
          <w:color w:val="333333"/>
          <w:sz w:val="22"/>
        </w:rPr>
        <w:t>International speakers through our global network (4 points each, up to 40 points)</w:t>
      </w:r>
    </w:p>
    <w:p>
      <w:r>
        <w:rPr>
          <w:b/>
          <w:color w:val="333333"/>
          <w:sz w:val="22"/>
        </w:rPr>
        <w:t>Scoring impact: Up to 450/450 points captured.</w:t>
      </w:r>
    </w:p>
    <w:p>
      <w:pPr>
        <w:pStyle w:val="Heading2"/>
      </w:pPr>
      <w:r>
        <w:rPr>
          <w:color w:val="1E3A5F"/>
        </w:rPr>
        <w:t>3.5 Scientific Clubs (40 Points)</w:t>
      </w:r>
    </w:p>
    <w:p>
      <w:pPr>
        <w:pStyle w:val="ListBullet"/>
      </w:pPr>
      <w:r>
        <w:rPr>
          <w:color w:val="333333"/>
          <w:sz w:val="22"/>
        </w:rPr>
        <w:t>Establishment and registration of scientific clubs within your society</w:t>
      </w:r>
    </w:p>
    <w:p>
      <w:pPr>
        <w:pStyle w:val="ListBullet"/>
      </w:pPr>
      <w:r>
        <w:rPr>
          <w:color w:val="333333"/>
          <w:sz w:val="22"/>
        </w:rPr>
        <w:t>Dedicated digital hub for each club; activity documentation; 50+ members tracked</w:t>
      </w:r>
    </w:p>
    <w:p>
      <w:r>
        <w:rPr>
          <w:b/>
          <w:color w:val="333333"/>
          <w:sz w:val="22"/>
        </w:rPr>
        <w:t>Scoring impact: Up to 40/40 points captured.</w:t>
      </w:r>
    </w:p>
    <w:p>
      <w:pPr>
        <w:pStyle w:val="Heading2"/>
      </w:pPr>
      <w:r>
        <w:rPr>
          <w:color w:val="1E3A5F"/>
        </w:rPr>
        <w:t>3.6 Community Service (240 Points)</w:t>
      </w:r>
    </w:p>
    <w:p>
      <w:pPr>
        <w:pStyle w:val="ListBullet"/>
      </w:pPr>
      <w:r>
        <w:rPr>
          <w:color w:val="333333"/>
          <w:sz w:val="22"/>
        </w:rPr>
        <w:t>Awareness publications: infographics and educational posters (up to 40 points)</w:t>
      </w:r>
    </w:p>
    <w:p>
      <w:pPr>
        <w:pStyle w:val="ListBullet"/>
      </w:pPr>
      <w:r>
        <w:rPr>
          <w:color w:val="333333"/>
          <w:sz w:val="22"/>
        </w:rPr>
        <w:t>Community magazine: annual publication registered with King Fahd National Library (15 points)</w:t>
      </w:r>
    </w:p>
    <w:p>
      <w:pPr>
        <w:pStyle w:val="ListBullet"/>
      </w:pPr>
      <w:r>
        <w:rPr>
          <w:color w:val="333333"/>
          <w:sz w:val="22"/>
        </w:rPr>
        <w:t>Awareness campaigns with documented brochures and attendance (up to 50 points)</w:t>
      </w:r>
    </w:p>
    <w:p>
      <w:pPr>
        <w:pStyle w:val="ListBullet"/>
      </w:pPr>
      <w:r>
        <w:rPr>
          <w:color w:val="333333"/>
          <w:sz w:val="22"/>
        </w:rPr>
        <w:t>Professional educational video production featuring your experts (20 points)</w:t>
      </w:r>
    </w:p>
    <w:p>
      <w:pPr>
        <w:pStyle w:val="ListBullet"/>
      </w:pPr>
      <w:r>
        <w:rPr>
          <w:color w:val="333333"/>
          <w:sz w:val="22"/>
        </w:rPr>
        <w:t>Volunteer management on national platform (up to 100 points)</w:t>
      </w:r>
    </w:p>
    <w:p>
      <w:r>
        <w:rPr>
          <w:b/>
          <w:color w:val="333333"/>
          <w:sz w:val="22"/>
        </w:rPr>
        <w:t>Scoring impact: Up to 240/240 points captured.</w:t>
      </w:r>
    </w:p>
    <w:p>
      <w:pPr>
        <w:pStyle w:val="Heading2"/>
      </w:pPr>
      <w:r>
        <w:rPr>
          <w:color w:val="1E3A5F"/>
        </w:rPr>
        <w:t>3.7 Research and Scientific Publications (260 Points)</w:t>
      </w:r>
    </w:p>
    <w:p>
      <w:r>
        <w:rPr>
          <w:b/>
          <w:color w:val="333333"/>
          <w:sz w:val="22"/>
        </w:rPr>
        <w:t>This is where most societies fail — and where our ecosystem delivers the greatest differentiation.</w:t>
      </w:r>
    </w:p>
    <w:p>
      <w:r>
        <w:rPr>
          <w:b w:val="0"/>
          <w:color w:val="333333"/>
          <w:sz w:val="22"/>
        </w:rPr>
      </w:r>
    </w:p>
    <w:p>
      <w:pPr>
        <w:pStyle w:val="ListBullet"/>
      </w:pPr>
      <w:r>
        <w:rPr>
          <w:color w:val="333333"/>
          <w:sz w:val="22"/>
        </w:rPr>
        <w:t>YOUR OWN PEER-REVIEWED JOURNAL: We launch, manage, and operate a journal in your society’s name with complete editorial infrastructure and Scopus/PubMed indexing pathway. Society retains 40-60% of revenue. (60 points)</w:t>
      </w:r>
    </w:p>
    <w:p>
      <w:pPr>
        <w:pStyle w:val="ListBullet"/>
      </w:pPr>
      <w:r>
        <w:rPr>
          <w:color w:val="333333"/>
          <w:sz w:val="22"/>
        </w:rPr>
        <w:t>Research support via our AI-powered research factory — systematic reviews, meta-analyses, clinical studies from idea to publication (30 points)</w:t>
      </w:r>
    </w:p>
    <w:p>
      <w:pPr>
        <w:pStyle w:val="ListBullet"/>
      </w:pPr>
      <w:r>
        <w:rPr>
          <w:color w:val="333333"/>
          <w:sz w:val="22"/>
        </w:rPr>
        <w:t>Research competitions for members with structured submission and judging (20 points)</w:t>
      </w:r>
    </w:p>
    <w:p>
      <w:pPr>
        <w:pStyle w:val="ListBullet"/>
      </w:pPr>
      <w:r>
        <w:rPr>
          <w:color w:val="333333"/>
          <w:sz w:val="22"/>
        </w:rPr>
        <w:t>Clinical guidelines via our Live Guidelines Platform — continuously updated, accredited internally and nationally (up to 120 points)</w:t>
      </w:r>
    </w:p>
    <w:p>
      <w:pPr>
        <w:pStyle w:val="ListBullet"/>
      </w:pPr>
      <w:r>
        <w:rPr>
          <w:color w:val="333333"/>
          <w:sz w:val="22"/>
        </w:rPr>
        <w:t>Practitioner publications, scientific posters, specialty books (up to 30 points)</w:t>
      </w:r>
    </w:p>
    <w:p>
      <w:r>
        <w:rPr>
          <w:b/>
          <w:color w:val="333333"/>
          <w:sz w:val="22"/>
        </w:rPr>
        <w:t>Scoring impact: Up to 260/260 points captured.</w:t>
      </w:r>
    </w:p>
    <w:p>
      <w:pPr>
        <w:pStyle w:val="Heading2"/>
      </w:pPr>
      <w:r>
        <w:rPr>
          <w:color w:val="1E3A5F"/>
        </w:rPr>
        <w:t>3.8 Agreements, Partnerships, and Awards (320 Points)</w:t>
      </w:r>
    </w:p>
    <w:p>
      <w:pPr>
        <w:pStyle w:val="ListBullet"/>
      </w:pPr>
      <w:r>
        <w:rPr>
          <w:color w:val="333333"/>
          <w:sz w:val="22"/>
        </w:rPr>
        <w:t>SCFHS framework and working agreement facilitation (20 points)</w:t>
      </w:r>
    </w:p>
    <w:p>
      <w:pPr>
        <w:pStyle w:val="ListBullet"/>
      </w:pPr>
      <w:r>
        <w:rPr>
          <w:color w:val="333333"/>
          <w:sz w:val="22"/>
        </w:rPr>
        <w:t>Government entity partnerships for specialty development (30 points)</w:t>
      </w:r>
    </w:p>
    <w:p>
      <w:pPr>
        <w:pStyle w:val="ListBullet"/>
      </w:pPr>
      <w:r>
        <w:rPr>
          <w:color w:val="333333"/>
          <w:sz w:val="22"/>
        </w:rPr>
        <w:t>International university and society agreements through our global network (up to 60 points)</w:t>
      </w:r>
    </w:p>
    <w:p>
      <w:pPr>
        <w:pStyle w:val="ListBullet"/>
      </w:pPr>
      <w:r>
        <w:rPr>
          <w:color w:val="333333"/>
          <w:sz w:val="22"/>
        </w:rPr>
        <w:t>Local society collaborations (up to 60 points)</w:t>
      </w:r>
    </w:p>
    <w:p>
      <w:pPr>
        <w:pStyle w:val="ListBullet"/>
      </w:pPr>
      <w:r>
        <w:rPr>
          <w:color w:val="333333"/>
          <w:sz w:val="22"/>
        </w:rPr>
        <w:t>Award positioning through research quality and publication output (up to 100 points)</w:t>
      </w:r>
    </w:p>
    <w:p>
      <w:r>
        <w:rPr>
          <w:b/>
          <w:color w:val="333333"/>
          <w:sz w:val="22"/>
        </w:rPr>
        <w:t>Scoring impact: Up to 320/320 points captured.</w:t>
      </w:r>
    </w:p>
    <w:p>
      <w:r>
        <w:br w:type="page"/>
      </w:r>
    </w:p>
    <w:p>
      <w:pPr>
        <w:pStyle w:val="Heading1"/>
      </w:pPr>
      <w:r>
        <w:rPr>
          <w:color w:val="1E3A5F"/>
        </w:rPr>
        <w:t>4. The Path from Category C to Category 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val="clear"/>
          </w:tcPr>
          <w:p>
            <w:pPr>
              <w:jc w:val="center"/>
            </w:pPr>
            <w:r/>
            <w:r>
              <w:rPr>
                <w:b/>
                <w:color w:val="FFFFFF"/>
                <w:sz w:val="20"/>
              </w:rPr>
              <w:t>Category</w:t>
            </w:r>
          </w:p>
        </w:tc>
        <w:tc>
          <w:tcPr>
            <w:tcW w:type="dxa" w:w="1872"/>
            <w:shd w:fill="1E3A5F" w:val="clear"/>
          </w:tcPr>
          <w:p>
            <w:pPr>
              <w:jc w:val="center"/>
            </w:pPr>
            <w:r/>
            <w:r>
              <w:rPr>
                <w:b/>
                <w:color w:val="FFFFFF"/>
                <w:sz w:val="20"/>
              </w:rPr>
              <w:t>Max Points</w:t>
            </w:r>
          </w:p>
        </w:tc>
        <w:tc>
          <w:tcPr>
            <w:tcW w:type="dxa" w:w="1872"/>
            <w:shd w:fill="1E3A5F" w:val="clear"/>
          </w:tcPr>
          <w:p>
            <w:pPr>
              <w:jc w:val="center"/>
            </w:pPr>
            <w:r/>
            <w:r>
              <w:rPr>
                <w:b/>
                <w:color w:val="FFFFFF"/>
                <w:sz w:val="20"/>
              </w:rPr>
              <w:t>Typical C-D Score</w:t>
            </w:r>
          </w:p>
        </w:tc>
        <w:tc>
          <w:tcPr>
            <w:tcW w:type="dxa" w:w="1872"/>
            <w:shd w:fill="1E3A5F" w:val="clear"/>
          </w:tcPr>
          <w:p>
            <w:pPr>
              <w:jc w:val="center"/>
            </w:pPr>
            <w:r/>
            <w:r>
              <w:rPr>
                <w:b/>
                <w:color w:val="FFFFFF"/>
                <w:sz w:val="20"/>
              </w:rPr>
              <w:t>Year 1 (With Theeb)</w:t>
            </w:r>
          </w:p>
        </w:tc>
        <w:tc>
          <w:tcPr>
            <w:tcW w:type="dxa" w:w="1872"/>
            <w:shd w:fill="1E3A5F" w:val="clear"/>
          </w:tcPr>
          <w:p>
            <w:pPr>
              <w:jc w:val="center"/>
            </w:pPr>
            <w:r/>
            <w:r>
              <w:rPr>
                <w:b/>
                <w:color w:val="FFFFFF"/>
                <w:sz w:val="20"/>
              </w:rPr>
              <w:t>Year 2 (With Theeb)</w:t>
            </w:r>
          </w:p>
        </w:tc>
      </w:tr>
      <w:tr>
        <w:tc>
          <w:tcPr>
            <w:tcW w:type="dxa" w:w="1872"/>
          </w:tcPr>
          <w:p>
            <w:r/>
            <w:r>
              <w:rPr>
                <w:color w:val="333333"/>
                <w:sz w:val="20"/>
              </w:rPr>
              <w:t>Administrative Organization</w:t>
            </w:r>
          </w:p>
        </w:tc>
        <w:tc>
          <w:tcPr>
            <w:tcW w:type="dxa" w:w="1872"/>
          </w:tcPr>
          <w:p>
            <w:r/>
            <w:r>
              <w:rPr>
                <w:color w:val="333333"/>
                <w:sz w:val="20"/>
              </w:rPr>
              <w:t>150</w:t>
            </w:r>
          </w:p>
        </w:tc>
        <w:tc>
          <w:tcPr>
            <w:tcW w:type="dxa" w:w="1872"/>
          </w:tcPr>
          <w:p>
            <w:r/>
            <w:r>
              <w:rPr>
                <w:color w:val="333333"/>
                <w:sz w:val="20"/>
              </w:rPr>
              <w:t>60</w:t>
            </w:r>
          </w:p>
        </w:tc>
        <w:tc>
          <w:tcPr>
            <w:tcW w:type="dxa" w:w="1872"/>
          </w:tcPr>
          <w:p>
            <w:r/>
            <w:r>
              <w:rPr>
                <w:color w:val="333333"/>
                <w:sz w:val="20"/>
              </w:rPr>
              <w:t>120</w:t>
            </w:r>
          </w:p>
        </w:tc>
        <w:tc>
          <w:tcPr>
            <w:tcW w:type="dxa" w:w="1872"/>
          </w:tcPr>
          <w:p>
            <w:r/>
            <w:r>
              <w:rPr>
                <w:color w:val="333333"/>
                <w:sz w:val="20"/>
              </w:rPr>
              <w:t>140</w:t>
            </w:r>
          </w:p>
        </w:tc>
      </w:tr>
      <w:tr>
        <w:tc>
          <w:tcPr>
            <w:tcW w:type="dxa" w:w="1872"/>
            <w:shd w:fill="F0F4F8" w:val="clear"/>
          </w:tcPr>
          <w:p>
            <w:r/>
            <w:r>
              <w:rPr>
                <w:color w:val="333333"/>
                <w:sz w:val="20"/>
              </w:rPr>
              <w:t>Memberships</w:t>
            </w:r>
          </w:p>
        </w:tc>
        <w:tc>
          <w:tcPr>
            <w:tcW w:type="dxa" w:w="1872"/>
            <w:shd w:fill="F0F4F8" w:val="clear"/>
          </w:tcPr>
          <w:p>
            <w:r/>
            <w:r>
              <w:rPr>
                <w:color w:val="333333"/>
                <w:sz w:val="20"/>
              </w:rPr>
              <w:t>400</w:t>
            </w:r>
          </w:p>
        </w:tc>
        <w:tc>
          <w:tcPr>
            <w:tcW w:type="dxa" w:w="1872"/>
            <w:shd w:fill="F0F4F8" w:val="clear"/>
          </w:tcPr>
          <w:p>
            <w:r/>
            <w:r>
              <w:rPr>
                <w:color w:val="333333"/>
                <w:sz w:val="20"/>
              </w:rPr>
              <w:t>80</w:t>
            </w:r>
          </w:p>
        </w:tc>
        <w:tc>
          <w:tcPr>
            <w:tcW w:type="dxa" w:w="1872"/>
            <w:shd w:fill="F0F4F8" w:val="clear"/>
          </w:tcPr>
          <w:p>
            <w:r/>
            <w:r>
              <w:rPr>
                <w:color w:val="333333"/>
                <w:sz w:val="20"/>
              </w:rPr>
              <w:t>200</w:t>
            </w:r>
          </w:p>
        </w:tc>
        <w:tc>
          <w:tcPr>
            <w:tcW w:type="dxa" w:w="1872"/>
            <w:shd w:fill="F0F4F8" w:val="clear"/>
          </w:tcPr>
          <w:p>
            <w:r/>
            <w:r>
              <w:rPr>
                <w:color w:val="333333"/>
                <w:sz w:val="20"/>
              </w:rPr>
              <w:t>300</w:t>
            </w:r>
          </w:p>
        </w:tc>
      </w:tr>
      <w:tr>
        <w:tc>
          <w:tcPr>
            <w:tcW w:type="dxa" w:w="1872"/>
          </w:tcPr>
          <w:p>
            <w:r/>
            <w:r>
              <w:rPr>
                <w:color w:val="333333"/>
                <w:sz w:val="20"/>
              </w:rPr>
              <w:t>Website &amp; Social Media</w:t>
            </w:r>
          </w:p>
        </w:tc>
        <w:tc>
          <w:tcPr>
            <w:tcW w:type="dxa" w:w="1872"/>
          </w:tcPr>
          <w:p>
            <w:r/>
            <w:r>
              <w:rPr>
                <w:color w:val="333333"/>
                <w:sz w:val="20"/>
              </w:rPr>
              <w:t>90</w:t>
            </w:r>
          </w:p>
        </w:tc>
        <w:tc>
          <w:tcPr>
            <w:tcW w:type="dxa" w:w="1872"/>
          </w:tcPr>
          <w:p>
            <w:r/>
            <w:r>
              <w:rPr>
                <w:color w:val="333333"/>
                <w:sz w:val="20"/>
              </w:rPr>
              <w:t>25</w:t>
            </w:r>
          </w:p>
        </w:tc>
        <w:tc>
          <w:tcPr>
            <w:tcW w:type="dxa" w:w="1872"/>
          </w:tcPr>
          <w:p>
            <w:r/>
            <w:r>
              <w:rPr>
                <w:color w:val="333333"/>
                <w:sz w:val="20"/>
              </w:rPr>
              <w:t>80</w:t>
            </w:r>
          </w:p>
        </w:tc>
        <w:tc>
          <w:tcPr>
            <w:tcW w:type="dxa" w:w="1872"/>
          </w:tcPr>
          <w:p>
            <w:r/>
            <w:r>
              <w:rPr>
                <w:color w:val="333333"/>
                <w:sz w:val="20"/>
              </w:rPr>
              <w:t>90</w:t>
            </w:r>
          </w:p>
        </w:tc>
      </w:tr>
      <w:tr>
        <w:tc>
          <w:tcPr>
            <w:tcW w:type="dxa" w:w="1872"/>
            <w:shd w:fill="F0F4F8" w:val="clear"/>
          </w:tcPr>
          <w:p>
            <w:r/>
            <w:r>
              <w:rPr>
                <w:color w:val="333333"/>
                <w:sz w:val="20"/>
              </w:rPr>
              <w:t>Activities &amp; Conferences</w:t>
            </w:r>
          </w:p>
        </w:tc>
        <w:tc>
          <w:tcPr>
            <w:tcW w:type="dxa" w:w="1872"/>
            <w:shd w:fill="F0F4F8" w:val="clear"/>
          </w:tcPr>
          <w:p>
            <w:r/>
            <w:r>
              <w:rPr>
                <w:color w:val="333333"/>
                <w:sz w:val="20"/>
              </w:rPr>
              <w:t>450</w:t>
            </w:r>
          </w:p>
        </w:tc>
        <w:tc>
          <w:tcPr>
            <w:tcW w:type="dxa" w:w="1872"/>
            <w:shd w:fill="F0F4F8" w:val="clear"/>
          </w:tcPr>
          <w:p>
            <w:r/>
            <w:r>
              <w:rPr>
                <w:color w:val="333333"/>
                <w:sz w:val="20"/>
              </w:rPr>
              <w:t>80</w:t>
            </w:r>
          </w:p>
        </w:tc>
        <w:tc>
          <w:tcPr>
            <w:tcW w:type="dxa" w:w="1872"/>
            <w:shd w:fill="F0F4F8" w:val="clear"/>
          </w:tcPr>
          <w:p>
            <w:r/>
            <w:r>
              <w:rPr>
                <w:color w:val="333333"/>
                <w:sz w:val="20"/>
              </w:rPr>
              <w:t>350</w:t>
            </w:r>
          </w:p>
        </w:tc>
        <w:tc>
          <w:tcPr>
            <w:tcW w:type="dxa" w:w="1872"/>
            <w:shd w:fill="F0F4F8" w:val="clear"/>
          </w:tcPr>
          <w:p>
            <w:r/>
            <w:r>
              <w:rPr>
                <w:color w:val="333333"/>
                <w:sz w:val="20"/>
              </w:rPr>
              <w:t>420</w:t>
            </w:r>
          </w:p>
        </w:tc>
      </w:tr>
      <w:tr>
        <w:tc>
          <w:tcPr>
            <w:tcW w:type="dxa" w:w="1872"/>
          </w:tcPr>
          <w:p>
            <w:r/>
            <w:r>
              <w:rPr>
                <w:color w:val="333333"/>
                <w:sz w:val="20"/>
              </w:rPr>
              <w:t>Scientific Clubs</w:t>
            </w:r>
          </w:p>
        </w:tc>
        <w:tc>
          <w:tcPr>
            <w:tcW w:type="dxa" w:w="1872"/>
          </w:tcPr>
          <w:p>
            <w:r/>
            <w:r>
              <w:rPr>
                <w:color w:val="333333"/>
                <w:sz w:val="20"/>
              </w:rPr>
              <w:t>40</w:t>
            </w:r>
          </w:p>
        </w:tc>
        <w:tc>
          <w:tcPr>
            <w:tcW w:type="dxa" w:w="1872"/>
          </w:tcPr>
          <w:p>
            <w:r/>
            <w:r>
              <w:rPr>
                <w:color w:val="333333"/>
                <w:sz w:val="20"/>
              </w:rPr>
              <w:t>10</w:t>
            </w:r>
          </w:p>
        </w:tc>
        <w:tc>
          <w:tcPr>
            <w:tcW w:type="dxa" w:w="1872"/>
          </w:tcPr>
          <w:p>
            <w:r/>
            <w:r>
              <w:rPr>
                <w:color w:val="333333"/>
                <w:sz w:val="20"/>
              </w:rPr>
              <w:t>30</w:t>
            </w:r>
          </w:p>
        </w:tc>
        <w:tc>
          <w:tcPr>
            <w:tcW w:type="dxa" w:w="1872"/>
          </w:tcPr>
          <w:p>
            <w:r/>
            <w:r>
              <w:rPr>
                <w:color w:val="333333"/>
                <w:sz w:val="20"/>
              </w:rPr>
              <w:t>40</w:t>
            </w:r>
          </w:p>
        </w:tc>
      </w:tr>
      <w:tr>
        <w:tc>
          <w:tcPr>
            <w:tcW w:type="dxa" w:w="1872"/>
            <w:shd w:fill="F0F4F8" w:val="clear"/>
          </w:tcPr>
          <w:p>
            <w:r/>
            <w:r>
              <w:rPr>
                <w:color w:val="333333"/>
                <w:sz w:val="20"/>
              </w:rPr>
              <w:t>Community Service</w:t>
            </w:r>
          </w:p>
        </w:tc>
        <w:tc>
          <w:tcPr>
            <w:tcW w:type="dxa" w:w="1872"/>
            <w:shd w:fill="F0F4F8" w:val="clear"/>
          </w:tcPr>
          <w:p>
            <w:r/>
            <w:r>
              <w:rPr>
                <w:color w:val="333333"/>
                <w:sz w:val="20"/>
              </w:rPr>
              <w:t>240</w:t>
            </w:r>
          </w:p>
        </w:tc>
        <w:tc>
          <w:tcPr>
            <w:tcW w:type="dxa" w:w="1872"/>
            <w:shd w:fill="F0F4F8" w:val="clear"/>
          </w:tcPr>
          <w:p>
            <w:r/>
            <w:r>
              <w:rPr>
                <w:color w:val="333333"/>
                <w:sz w:val="20"/>
              </w:rPr>
              <w:t>30</w:t>
            </w:r>
          </w:p>
        </w:tc>
        <w:tc>
          <w:tcPr>
            <w:tcW w:type="dxa" w:w="1872"/>
            <w:shd w:fill="F0F4F8" w:val="clear"/>
          </w:tcPr>
          <w:p>
            <w:r/>
            <w:r>
              <w:rPr>
                <w:color w:val="333333"/>
                <w:sz w:val="20"/>
              </w:rPr>
              <w:t>160</w:t>
            </w:r>
          </w:p>
        </w:tc>
        <w:tc>
          <w:tcPr>
            <w:tcW w:type="dxa" w:w="1872"/>
            <w:shd w:fill="F0F4F8" w:val="clear"/>
          </w:tcPr>
          <w:p>
            <w:r/>
            <w:r>
              <w:rPr>
                <w:color w:val="333333"/>
                <w:sz w:val="20"/>
              </w:rPr>
              <w:t>220</w:t>
            </w:r>
          </w:p>
        </w:tc>
      </w:tr>
      <w:tr>
        <w:tc>
          <w:tcPr>
            <w:tcW w:type="dxa" w:w="1872"/>
          </w:tcPr>
          <w:p>
            <w:r/>
            <w:r>
              <w:rPr>
                <w:color w:val="333333"/>
                <w:sz w:val="20"/>
              </w:rPr>
              <w:t>Research &amp; Publications</w:t>
            </w:r>
          </w:p>
        </w:tc>
        <w:tc>
          <w:tcPr>
            <w:tcW w:type="dxa" w:w="1872"/>
          </w:tcPr>
          <w:p>
            <w:r/>
            <w:r>
              <w:rPr>
                <w:color w:val="333333"/>
                <w:sz w:val="20"/>
              </w:rPr>
              <w:t>260</w:t>
            </w:r>
          </w:p>
        </w:tc>
        <w:tc>
          <w:tcPr>
            <w:tcW w:type="dxa" w:w="1872"/>
          </w:tcPr>
          <w:p>
            <w:r/>
            <w:r>
              <w:rPr>
                <w:color w:val="333333"/>
                <w:sz w:val="20"/>
              </w:rPr>
              <w:t>20</w:t>
            </w:r>
          </w:p>
        </w:tc>
        <w:tc>
          <w:tcPr>
            <w:tcW w:type="dxa" w:w="1872"/>
          </w:tcPr>
          <w:p>
            <w:r/>
            <w:r>
              <w:rPr>
                <w:color w:val="333333"/>
                <w:sz w:val="20"/>
              </w:rPr>
              <w:t>150</w:t>
            </w:r>
          </w:p>
        </w:tc>
        <w:tc>
          <w:tcPr>
            <w:tcW w:type="dxa" w:w="1872"/>
          </w:tcPr>
          <w:p>
            <w:r/>
            <w:r>
              <w:rPr>
                <w:color w:val="333333"/>
                <w:sz w:val="20"/>
              </w:rPr>
              <w:t>230</w:t>
            </w:r>
          </w:p>
        </w:tc>
      </w:tr>
      <w:tr>
        <w:tc>
          <w:tcPr>
            <w:tcW w:type="dxa" w:w="1872"/>
            <w:shd w:fill="F0F4F8" w:val="clear"/>
          </w:tcPr>
          <w:p>
            <w:r/>
            <w:r>
              <w:rPr>
                <w:color w:val="333333"/>
                <w:sz w:val="20"/>
              </w:rPr>
              <w:t>Agreements &amp; Awards</w:t>
            </w:r>
          </w:p>
        </w:tc>
        <w:tc>
          <w:tcPr>
            <w:tcW w:type="dxa" w:w="1872"/>
            <w:shd w:fill="F0F4F8" w:val="clear"/>
          </w:tcPr>
          <w:p>
            <w:r/>
            <w:r>
              <w:rPr>
                <w:color w:val="333333"/>
                <w:sz w:val="20"/>
              </w:rPr>
              <w:t>320</w:t>
            </w:r>
          </w:p>
        </w:tc>
        <w:tc>
          <w:tcPr>
            <w:tcW w:type="dxa" w:w="1872"/>
            <w:shd w:fill="F0F4F8" w:val="clear"/>
          </w:tcPr>
          <w:p>
            <w:r/>
            <w:r>
              <w:rPr>
                <w:color w:val="333333"/>
                <w:sz w:val="20"/>
              </w:rPr>
              <w:t>40</w:t>
            </w:r>
          </w:p>
        </w:tc>
        <w:tc>
          <w:tcPr>
            <w:tcW w:type="dxa" w:w="1872"/>
            <w:shd w:fill="F0F4F8" w:val="clear"/>
          </w:tcPr>
          <w:p>
            <w:r/>
            <w:r>
              <w:rPr>
                <w:color w:val="333333"/>
                <w:sz w:val="20"/>
              </w:rPr>
              <w:t>120</w:t>
            </w:r>
          </w:p>
        </w:tc>
        <w:tc>
          <w:tcPr>
            <w:tcW w:type="dxa" w:w="1872"/>
            <w:shd w:fill="F0F4F8" w:val="clear"/>
          </w:tcPr>
          <w:p>
            <w:r/>
            <w:r>
              <w:rPr>
                <w:color w:val="333333"/>
                <w:sz w:val="20"/>
              </w:rPr>
              <w:t>220</w:t>
            </w:r>
          </w:p>
        </w:tc>
      </w:tr>
      <w:tr>
        <w:tc>
          <w:tcPr>
            <w:tcW w:type="dxa" w:w="1872"/>
          </w:tcPr>
          <w:p>
            <w:r/>
            <w:r>
              <w:rPr>
                <w:color w:val="333333"/>
                <w:sz w:val="20"/>
              </w:rPr>
              <w:t>TOTAL</w:t>
            </w:r>
          </w:p>
        </w:tc>
        <w:tc>
          <w:tcPr>
            <w:tcW w:type="dxa" w:w="1872"/>
          </w:tcPr>
          <w:p>
            <w:r/>
            <w:r>
              <w:rPr>
                <w:color w:val="333333"/>
                <w:sz w:val="20"/>
              </w:rPr>
              <w:t>1,950</w:t>
            </w:r>
          </w:p>
        </w:tc>
        <w:tc>
          <w:tcPr>
            <w:tcW w:type="dxa" w:w="1872"/>
          </w:tcPr>
          <w:p>
            <w:r/>
            <w:r>
              <w:rPr>
                <w:color w:val="333333"/>
                <w:sz w:val="20"/>
              </w:rPr>
              <w:t>345 (Cat. D)</w:t>
            </w:r>
          </w:p>
        </w:tc>
        <w:tc>
          <w:tcPr>
            <w:tcW w:type="dxa" w:w="1872"/>
          </w:tcPr>
          <w:p>
            <w:r/>
            <w:r>
              <w:rPr>
                <w:color w:val="333333"/>
                <w:sz w:val="20"/>
              </w:rPr>
              <w:t>1,210 (Cat. A)</w:t>
            </w:r>
          </w:p>
        </w:tc>
        <w:tc>
          <w:tcPr>
            <w:tcW w:type="dxa" w:w="1872"/>
          </w:tcPr>
          <w:p>
            <w:r/>
            <w:r>
              <w:rPr>
                <w:color w:val="333333"/>
                <w:sz w:val="20"/>
              </w:rPr>
              <w:t>1,660 (Cat. A+)</w:t>
            </w:r>
          </w:p>
        </w:tc>
      </w:tr>
    </w:tbl>
    <w:p>
      <w:r>
        <w:br w:type="page"/>
      </w:r>
    </w:p>
    <w:p>
      <w:pPr>
        <w:pStyle w:val="Heading1"/>
      </w:pPr>
      <w:r>
        <w:rPr>
          <w:color w:val="1E3A5F"/>
        </w:rPr>
        <w:t>5. Revenue Model: Zero Investment, Revenue Share</w:t>
      </w:r>
    </w:p>
    <w:p>
      <w:r>
        <w:rPr>
          <w:b w:val="0"/>
          <w:color w:val="333333"/>
          <w:sz w:val="22"/>
        </w:rPr>
        <w:t>The society invests nothing upfront. The Theeb Ecosystem invests all infrastructure. Revenue is shared transparently.</w:t>
      </w:r>
    </w:p>
    <w:p>
      <w:r>
        <w:rPr>
          <w:b w:val="0"/>
          <w:color w:val="333333"/>
          <w:sz w:val="22"/>
        </w:rPr>
      </w:r>
    </w:p>
    <w:p>
      <w:pPr>
        <w:pStyle w:val="Heading2"/>
      </w:pPr>
      <w:r>
        <w:rPr>
          <w:color w:val="1E3A5F"/>
        </w:rPr>
        <w:t>5.1 Revenue Share 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5F" w:val="clear"/>
          </w:tcPr>
          <w:p>
            <w:pPr>
              <w:jc w:val="center"/>
            </w:pPr>
            <w:r/>
            <w:r>
              <w:rPr>
                <w:b/>
                <w:color w:val="FFFFFF"/>
                <w:sz w:val="20"/>
              </w:rPr>
              <w:t>Revenue Stream</w:t>
            </w:r>
          </w:p>
        </w:tc>
        <w:tc>
          <w:tcPr>
            <w:tcW w:type="dxa" w:w="3120"/>
            <w:shd w:fill="1E3A5F" w:val="clear"/>
          </w:tcPr>
          <w:p>
            <w:pPr>
              <w:jc w:val="center"/>
            </w:pPr>
            <w:r/>
            <w:r>
              <w:rPr>
                <w:b/>
                <w:color w:val="FFFFFF"/>
                <w:sz w:val="20"/>
              </w:rPr>
              <w:t>Society Share</w:t>
            </w:r>
          </w:p>
        </w:tc>
        <w:tc>
          <w:tcPr>
            <w:tcW w:type="dxa" w:w="3120"/>
            <w:shd w:fill="1E3A5F" w:val="clear"/>
          </w:tcPr>
          <w:p>
            <w:pPr>
              <w:jc w:val="center"/>
            </w:pPr>
            <w:r/>
            <w:r>
              <w:rPr>
                <w:b/>
                <w:color w:val="FFFFFF"/>
                <w:sz w:val="20"/>
              </w:rPr>
              <w:t>Theeb Share</w:t>
            </w:r>
          </w:p>
        </w:tc>
      </w:tr>
      <w:tr>
        <w:tc>
          <w:tcPr>
            <w:tcW w:type="dxa" w:w="3120"/>
          </w:tcPr>
          <w:p>
            <w:r/>
            <w:r>
              <w:rPr>
                <w:color w:val="333333"/>
                <w:sz w:val="20"/>
              </w:rPr>
              <w:t>Journal Revenue (APC + advertising)</w:t>
            </w:r>
          </w:p>
        </w:tc>
        <w:tc>
          <w:tcPr>
            <w:tcW w:type="dxa" w:w="3120"/>
          </w:tcPr>
          <w:p>
            <w:r/>
            <w:r>
              <w:rPr>
                <w:color w:val="333333"/>
                <w:sz w:val="20"/>
              </w:rPr>
              <w:t>40-60%</w:t>
            </w:r>
          </w:p>
        </w:tc>
        <w:tc>
          <w:tcPr>
            <w:tcW w:type="dxa" w:w="3120"/>
          </w:tcPr>
          <w:p>
            <w:r/>
            <w:r>
              <w:rPr>
                <w:color w:val="333333"/>
                <w:sz w:val="20"/>
              </w:rPr>
              <w:t>40-60%</w:t>
            </w:r>
          </w:p>
        </w:tc>
      </w:tr>
      <w:tr>
        <w:tc>
          <w:tcPr>
            <w:tcW w:type="dxa" w:w="3120"/>
            <w:shd w:fill="F0F4F8" w:val="clear"/>
          </w:tcPr>
          <w:p>
            <w:r/>
            <w:r>
              <w:rPr>
                <w:color w:val="333333"/>
                <w:sz w:val="20"/>
              </w:rPr>
              <w:t>CME Programs (fees + sponsorships)</w:t>
            </w:r>
          </w:p>
        </w:tc>
        <w:tc>
          <w:tcPr>
            <w:tcW w:type="dxa" w:w="3120"/>
            <w:shd w:fill="F0F4F8" w:val="clear"/>
          </w:tcPr>
          <w:p>
            <w:r/>
            <w:r>
              <w:rPr>
                <w:color w:val="333333"/>
                <w:sz w:val="20"/>
              </w:rPr>
              <w:t>40-50%</w:t>
            </w:r>
          </w:p>
        </w:tc>
        <w:tc>
          <w:tcPr>
            <w:tcW w:type="dxa" w:w="3120"/>
            <w:shd w:fill="F0F4F8" w:val="clear"/>
          </w:tcPr>
          <w:p>
            <w:r/>
            <w:r>
              <w:rPr>
                <w:color w:val="333333"/>
                <w:sz w:val="20"/>
              </w:rPr>
              <w:t>50-60%</w:t>
            </w:r>
          </w:p>
        </w:tc>
      </w:tr>
      <w:tr>
        <w:tc>
          <w:tcPr>
            <w:tcW w:type="dxa" w:w="3120"/>
          </w:tcPr>
          <w:p>
            <w:r/>
            <w:r>
              <w:rPr>
                <w:color w:val="333333"/>
                <w:sz w:val="20"/>
              </w:rPr>
              <w:t>Conference (registration + sponsorships)</w:t>
            </w:r>
          </w:p>
        </w:tc>
        <w:tc>
          <w:tcPr>
            <w:tcW w:type="dxa" w:w="3120"/>
          </w:tcPr>
          <w:p>
            <w:r/>
            <w:r>
              <w:rPr>
                <w:color w:val="333333"/>
                <w:sz w:val="20"/>
              </w:rPr>
              <w:t>40-50%</w:t>
            </w:r>
          </w:p>
        </w:tc>
        <w:tc>
          <w:tcPr>
            <w:tcW w:type="dxa" w:w="3120"/>
          </w:tcPr>
          <w:p>
            <w:r/>
            <w:r>
              <w:rPr>
                <w:color w:val="333333"/>
                <w:sz w:val="20"/>
              </w:rPr>
              <w:t>50-60%</w:t>
            </w:r>
          </w:p>
        </w:tc>
      </w:tr>
      <w:tr>
        <w:tc>
          <w:tcPr>
            <w:tcW w:type="dxa" w:w="3120"/>
            <w:shd w:fill="F0F4F8" w:val="clear"/>
          </w:tcPr>
          <w:p>
            <w:r/>
            <w:r>
              <w:rPr>
                <w:color w:val="333333"/>
                <w:sz w:val="20"/>
              </w:rPr>
              <w:t>Research Credit and Authorship</w:t>
            </w:r>
          </w:p>
        </w:tc>
        <w:tc>
          <w:tcPr>
            <w:tcW w:type="dxa" w:w="3120"/>
            <w:shd w:fill="F0F4F8" w:val="clear"/>
          </w:tcPr>
          <w:p>
            <w:r/>
            <w:r>
              <w:rPr>
                <w:color w:val="333333"/>
                <w:sz w:val="20"/>
              </w:rPr>
              <w:t>100%</w:t>
            </w:r>
          </w:p>
        </w:tc>
        <w:tc>
          <w:tcPr>
            <w:tcW w:type="dxa" w:w="3120"/>
            <w:shd w:fill="F0F4F8" w:val="clear"/>
          </w:tcPr>
          <w:p>
            <w:r/>
            <w:r>
              <w:rPr>
                <w:color w:val="333333"/>
                <w:sz w:val="20"/>
              </w:rPr>
              <w:t>0%</w:t>
            </w:r>
          </w:p>
        </w:tc>
      </w:tr>
      <w:tr>
        <w:tc>
          <w:tcPr>
            <w:tcW w:type="dxa" w:w="3120"/>
          </w:tcPr>
          <w:p>
            <w:r/>
            <w:r>
              <w:rPr>
                <w:color w:val="333333"/>
                <w:sz w:val="20"/>
              </w:rPr>
              <w:t>Clinical Guideline Authorship</w:t>
            </w:r>
          </w:p>
        </w:tc>
        <w:tc>
          <w:tcPr>
            <w:tcW w:type="dxa" w:w="3120"/>
          </w:tcPr>
          <w:p>
            <w:r/>
            <w:r>
              <w:rPr>
                <w:color w:val="333333"/>
                <w:sz w:val="20"/>
              </w:rPr>
              <w:t>100%</w:t>
            </w:r>
          </w:p>
        </w:tc>
        <w:tc>
          <w:tcPr>
            <w:tcW w:type="dxa" w:w="3120"/>
          </w:tcPr>
          <w:p>
            <w:r/>
            <w:r>
              <w:rPr>
                <w:color w:val="333333"/>
                <w:sz w:val="20"/>
              </w:rPr>
              <w:t>0%</w:t>
            </w:r>
          </w:p>
        </w:tc>
      </w:tr>
      <w:tr>
        <w:tc>
          <w:tcPr>
            <w:tcW w:type="dxa" w:w="3120"/>
            <w:shd w:fill="F0F4F8" w:val="clear"/>
          </w:tcPr>
          <w:p>
            <w:r/>
            <w:r>
              <w:rPr>
                <w:color w:val="333333"/>
                <w:sz w:val="20"/>
              </w:rPr>
              <w:t>Community Impact Credit</w:t>
            </w:r>
          </w:p>
        </w:tc>
        <w:tc>
          <w:tcPr>
            <w:tcW w:type="dxa" w:w="3120"/>
            <w:shd w:fill="F0F4F8" w:val="clear"/>
          </w:tcPr>
          <w:p>
            <w:r/>
            <w:r>
              <w:rPr>
                <w:color w:val="333333"/>
                <w:sz w:val="20"/>
              </w:rPr>
              <w:t>100%</w:t>
            </w:r>
          </w:p>
        </w:tc>
        <w:tc>
          <w:tcPr>
            <w:tcW w:type="dxa" w:w="3120"/>
            <w:shd w:fill="F0F4F8" w:val="clear"/>
          </w:tcPr>
          <w:p>
            <w:r/>
            <w:r>
              <w:rPr>
                <w:color w:val="333333"/>
                <w:sz w:val="20"/>
              </w:rPr>
              <w:t>0%</w:t>
            </w:r>
          </w:p>
        </w:tc>
      </w:tr>
    </w:tbl>
    <w:p>
      <w:r>
        <w:rPr>
          <w:b w:val="0"/>
          <w:color w:val="333333"/>
          <w:sz w:val="22"/>
        </w:rPr>
      </w:r>
    </w:p>
    <w:p>
      <w:pPr>
        <w:pStyle w:val="Heading2"/>
      </w:pPr>
      <w:r>
        <w:rPr>
          <w:color w:val="1E3A5F"/>
        </w:rPr>
        <w:t>5.2 Revenue Projections by Society Size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5F" w:val="clear"/>
          </w:tcPr>
          <w:p>
            <w:pPr>
              <w:jc w:val="center"/>
            </w:pPr>
            <w:r/>
            <w:r>
              <w:rPr>
                <w:b/>
                <w:color w:val="FFFFFF"/>
                <w:sz w:val="20"/>
              </w:rPr>
              <w:t>Size</w:t>
            </w:r>
          </w:p>
        </w:tc>
        <w:tc>
          <w:tcPr>
            <w:tcW w:type="dxa" w:w="1560"/>
            <w:shd w:fill="1E3A5F" w:val="clear"/>
          </w:tcPr>
          <w:p>
            <w:pPr>
              <w:jc w:val="center"/>
            </w:pPr>
            <w:r/>
            <w:r>
              <w:rPr>
                <w:b/>
                <w:color w:val="FFFFFF"/>
                <w:sz w:val="20"/>
              </w:rPr>
              <w:t>Journal</w:t>
            </w:r>
          </w:p>
        </w:tc>
        <w:tc>
          <w:tcPr>
            <w:tcW w:type="dxa" w:w="1560"/>
            <w:shd w:fill="1E3A5F" w:val="clear"/>
          </w:tcPr>
          <w:p>
            <w:pPr>
              <w:jc w:val="center"/>
            </w:pPr>
            <w:r/>
            <w:r>
              <w:rPr>
                <w:b/>
                <w:color w:val="FFFFFF"/>
                <w:sz w:val="20"/>
              </w:rPr>
              <w:t>CME</w:t>
            </w:r>
          </w:p>
        </w:tc>
        <w:tc>
          <w:tcPr>
            <w:tcW w:type="dxa" w:w="1560"/>
            <w:shd w:fill="1E3A5F" w:val="clear"/>
          </w:tcPr>
          <w:p>
            <w:pPr>
              <w:jc w:val="center"/>
            </w:pPr>
            <w:r/>
            <w:r>
              <w:rPr>
                <w:b/>
                <w:color w:val="FFFFFF"/>
                <w:sz w:val="20"/>
              </w:rPr>
              <w:t>Conference</w:t>
            </w:r>
          </w:p>
        </w:tc>
        <w:tc>
          <w:tcPr>
            <w:tcW w:type="dxa" w:w="1560"/>
            <w:shd w:fill="1E3A5F" w:val="clear"/>
          </w:tcPr>
          <w:p>
            <w:pPr>
              <w:jc w:val="center"/>
            </w:pPr>
            <w:r/>
            <w:r>
              <w:rPr>
                <w:b/>
                <w:color w:val="FFFFFF"/>
                <w:sz w:val="20"/>
              </w:rPr>
              <w:t>Total</w:t>
            </w:r>
          </w:p>
        </w:tc>
        <w:tc>
          <w:tcPr>
            <w:tcW w:type="dxa" w:w="1560"/>
            <w:shd w:fill="1E3A5F" w:val="clear"/>
          </w:tcPr>
          <w:p>
            <w:pPr>
              <w:jc w:val="center"/>
            </w:pPr>
            <w:r/>
            <w:r>
              <w:rPr>
                <w:b/>
                <w:color w:val="FFFFFF"/>
                <w:sz w:val="20"/>
              </w:rPr>
              <w:t>Society (50%)</w:t>
            </w:r>
          </w:p>
        </w:tc>
      </w:tr>
      <w:tr>
        <w:tc>
          <w:tcPr>
            <w:tcW w:type="dxa" w:w="1560"/>
          </w:tcPr>
          <w:p>
            <w:r/>
            <w:r>
              <w:rPr>
                <w:color w:val="333333"/>
                <w:sz w:val="20"/>
              </w:rPr>
              <w:t>Small (200)</w:t>
            </w:r>
          </w:p>
        </w:tc>
        <w:tc>
          <w:tcPr>
            <w:tcW w:type="dxa" w:w="1560"/>
          </w:tcPr>
          <w:p>
            <w:r/>
            <w:r>
              <w:rPr>
                <w:color w:val="333333"/>
                <w:sz w:val="20"/>
              </w:rPr>
              <w:t>SAR 200K</w:t>
            </w:r>
          </w:p>
        </w:tc>
        <w:tc>
          <w:tcPr>
            <w:tcW w:type="dxa" w:w="1560"/>
          </w:tcPr>
          <w:p>
            <w:r/>
            <w:r>
              <w:rPr>
                <w:color w:val="333333"/>
                <w:sz w:val="20"/>
              </w:rPr>
              <w:t>SAR 300K</w:t>
            </w:r>
          </w:p>
        </w:tc>
        <w:tc>
          <w:tcPr>
            <w:tcW w:type="dxa" w:w="1560"/>
          </w:tcPr>
          <w:p>
            <w:r/>
            <w:r>
              <w:rPr>
                <w:color w:val="333333"/>
                <w:sz w:val="20"/>
              </w:rPr>
              <w:t>SAR 200K</w:t>
            </w:r>
          </w:p>
        </w:tc>
        <w:tc>
          <w:tcPr>
            <w:tcW w:type="dxa" w:w="1560"/>
          </w:tcPr>
          <w:p>
            <w:r/>
            <w:r>
              <w:rPr>
                <w:color w:val="333333"/>
                <w:sz w:val="20"/>
              </w:rPr>
              <w:t>SAR 700K</w:t>
            </w:r>
          </w:p>
        </w:tc>
        <w:tc>
          <w:tcPr>
            <w:tcW w:type="dxa" w:w="1560"/>
          </w:tcPr>
          <w:p>
            <w:r/>
            <w:r>
              <w:rPr>
                <w:color w:val="333333"/>
                <w:sz w:val="20"/>
              </w:rPr>
              <w:t>SAR 350K</w:t>
            </w:r>
          </w:p>
        </w:tc>
      </w:tr>
      <w:tr>
        <w:tc>
          <w:tcPr>
            <w:tcW w:type="dxa" w:w="1560"/>
            <w:shd w:fill="F0F4F8" w:val="clear"/>
          </w:tcPr>
          <w:p>
            <w:r/>
            <w:r>
              <w:rPr>
                <w:color w:val="333333"/>
                <w:sz w:val="20"/>
              </w:rPr>
              <w:t>Medium (500)</w:t>
            </w:r>
          </w:p>
        </w:tc>
        <w:tc>
          <w:tcPr>
            <w:tcW w:type="dxa" w:w="1560"/>
            <w:shd w:fill="F0F4F8" w:val="clear"/>
          </w:tcPr>
          <w:p>
            <w:r/>
            <w:r>
              <w:rPr>
                <w:color w:val="333333"/>
                <w:sz w:val="20"/>
              </w:rPr>
              <w:t>SAR 500K</w:t>
            </w:r>
          </w:p>
        </w:tc>
        <w:tc>
          <w:tcPr>
            <w:tcW w:type="dxa" w:w="1560"/>
            <w:shd w:fill="F0F4F8" w:val="clear"/>
          </w:tcPr>
          <w:p>
            <w:r/>
            <w:r>
              <w:rPr>
                <w:color w:val="333333"/>
                <w:sz w:val="20"/>
              </w:rPr>
              <w:t>SAR 750K</w:t>
            </w:r>
          </w:p>
        </w:tc>
        <w:tc>
          <w:tcPr>
            <w:tcW w:type="dxa" w:w="1560"/>
            <w:shd w:fill="F0F4F8" w:val="clear"/>
          </w:tcPr>
          <w:p>
            <w:r/>
            <w:r>
              <w:rPr>
                <w:color w:val="333333"/>
                <w:sz w:val="20"/>
              </w:rPr>
              <w:t>SAR 500K</w:t>
            </w:r>
          </w:p>
        </w:tc>
        <w:tc>
          <w:tcPr>
            <w:tcW w:type="dxa" w:w="1560"/>
            <w:shd w:fill="F0F4F8" w:val="clear"/>
          </w:tcPr>
          <w:p>
            <w:r/>
            <w:r>
              <w:rPr>
                <w:color w:val="333333"/>
                <w:sz w:val="20"/>
              </w:rPr>
              <w:t>SAR 1.75M</w:t>
            </w:r>
          </w:p>
        </w:tc>
        <w:tc>
          <w:tcPr>
            <w:tcW w:type="dxa" w:w="1560"/>
            <w:shd w:fill="F0F4F8" w:val="clear"/>
          </w:tcPr>
          <w:p>
            <w:r/>
            <w:r>
              <w:rPr>
                <w:color w:val="333333"/>
                <w:sz w:val="20"/>
              </w:rPr>
              <w:t>SAR 875K</w:t>
            </w:r>
          </w:p>
        </w:tc>
      </w:tr>
      <w:tr>
        <w:tc>
          <w:tcPr>
            <w:tcW w:type="dxa" w:w="1560"/>
          </w:tcPr>
          <w:p>
            <w:r/>
            <w:r>
              <w:rPr>
                <w:color w:val="333333"/>
                <w:sz w:val="20"/>
              </w:rPr>
              <w:t>Large (1,000+)</w:t>
            </w:r>
          </w:p>
        </w:tc>
        <w:tc>
          <w:tcPr>
            <w:tcW w:type="dxa" w:w="1560"/>
          </w:tcPr>
          <w:p>
            <w:r/>
            <w:r>
              <w:rPr>
                <w:color w:val="333333"/>
                <w:sz w:val="20"/>
              </w:rPr>
              <w:t>SAR 1M</w:t>
            </w:r>
          </w:p>
        </w:tc>
        <w:tc>
          <w:tcPr>
            <w:tcW w:type="dxa" w:w="1560"/>
          </w:tcPr>
          <w:p>
            <w:r/>
            <w:r>
              <w:rPr>
                <w:color w:val="333333"/>
                <w:sz w:val="20"/>
              </w:rPr>
              <w:t>SAR 1.5M</w:t>
            </w:r>
          </w:p>
        </w:tc>
        <w:tc>
          <w:tcPr>
            <w:tcW w:type="dxa" w:w="1560"/>
          </w:tcPr>
          <w:p>
            <w:r/>
            <w:r>
              <w:rPr>
                <w:color w:val="333333"/>
                <w:sz w:val="20"/>
              </w:rPr>
              <w:t>SAR 1M</w:t>
            </w:r>
          </w:p>
        </w:tc>
        <w:tc>
          <w:tcPr>
            <w:tcW w:type="dxa" w:w="1560"/>
          </w:tcPr>
          <w:p>
            <w:r/>
            <w:r>
              <w:rPr>
                <w:color w:val="333333"/>
                <w:sz w:val="20"/>
              </w:rPr>
              <w:t>SAR 3.5M</w:t>
            </w:r>
          </w:p>
        </w:tc>
        <w:tc>
          <w:tcPr>
            <w:tcW w:type="dxa" w:w="1560"/>
          </w:tcPr>
          <w:p>
            <w:r/>
            <w:r>
              <w:rPr>
                <w:color w:val="333333"/>
                <w:sz w:val="20"/>
              </w:rPr>
              <w:t>SAR 1.75M</w:t>
            </w:r>
          </w:p>
        </w:tc>
      </w:tr>
    </w:tbl>
    <w:p>
      <w:r>
        <w:br w:type="page"/>
      </w:r>
    </w:p>
    <w:p>
      <w:pPr>
        <w:pStyle w:val="Heading1"/>
      </w:pPr>
      <w:r>
        <w:rPr>
          <w:color w:val="1E3A5F"/>
        </w:rPr>
        <w:t>6. Implementation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5F" w:val="clear"/>
          </w:tcPr>
          <w:p>
            <w:pPr>
              <w:jc w:val="center"/>
            </w:pPr>
            <w:r/>
            <w:r>
              <w:rPr>
                <w:b/>
                <w:color w:val="FFFFFF"/>
                <w:sz w:val="20"/>
              </w:rPr>
              <w:t>Phase</w:t>
            </w:r>
          </w:p>
        </w:tc>
        <w:tc>
          <w:tcPr>
            <w:tcW w:type="dxa" w:w="3120"/>
            <w:shd w:fill="1E3A5F" w:val="clear"/>
          </w:tcPr>
          <w:p>
            <w:pPr>
              <w:jc w:val="center"/>
            </w:pPr>
            <w:r/>
            <w:r>
              <w:rPr>
                <w:b/>
                <w:color w:val="FFFFFF"/>
                <w:sz w:val="20"/>
              </w:rPr>
              <w:t>Timeline</w:t>
            </w:r>
          </w:p>
        </w:tc>
        <w:tc>
          <w:tcPr>
            <w:tcW w:type="dxa" w:w="3120"/>
            <w:shd w:fill="1E3A5F" w:val="clear"/>
          </w:tcPr>
          <w:p>
            <w:pPr>
              <w:jc w:val="center"/>
            </w:pPr>
            <w:r/>
            <w:r>
              <w:rPr>
                <w:b/>
                <w:color w:val="FFFFFF"/>
                <w:sz w:val="20"/>
              </w:rPr>
              <w:t>Deliverables</w:t>
            </w:r>
          </w:p>
        </w:tc>
      </w:tr>
      <w:tr>
        <w:tc>
          <w:tcPr>
            <w:tcW w:type="dxa" w:w="3120"/>
          </w:tcPr>
          <w:p>
            <w:r/>
            <w:r>
              <w:rPr>
                <w:color w:val="333333"/>
                <w:sz w:val="20"/>
              </w:rPr>
              <w:t>Agreement</w:t>
            </w:r>
          </w:p>
        </w:tc>
        <w:tc>
          <w:tcPr>
            <w:tcW w:type="dxa" w:w="3120"/>
          </w:tcPr>
          <w:p>
            <w:r/>
            <w:r>
              <w:rPr>
                <w:color w:val="333333"/>
                <w:sz w:val="20"/>
              </w:rPr>
              <w:t>Month 0</w:t>
            </w:r>
          </w:p>
        </w:tc>
        <w:tc>
          <w:tcPr>
            <w:tcW w:type="dxa" w:w="3120"/>
          </w:tcPr>
          <w:p>
            <w:r/>
            <w:r>
              <w:rPr>
                <w:color w:val="333333"/>
                <w:sz w:val="20"/>
              </w:rPr>
              <w:t>Partnership signed; zero cost to society</w:t>
            </w:r>
          </w:p>
        </w:tc>
      </w:tr>
      <w:tr>
        <w:tc>
          <w:tcPr>
            <w:tcW w:type="dxa" w:w="3120"/>
            <w:shd w:fill="F0F4F8" w:val="clear"/>
          </w:tcPr>
          <w:p>
            <w:r/>
            <w:r>
              <w:rPr>
                <w:color w:val="333333"/>
                <w:sz w:val="20"/>
              </w:rPr>
              <w:t>Deployment</w:t>
            </w:r>
          </w:p>
        </w:tc>
        <w:tc>
          <w:tcPr>
            <w:tcW w:type="dxa" w:w="3120"/>
            <w:shd w:fill="F0F4F8" w:val="clear"/>
          </w:tcPr>
          <w:p>
            <w:r/>
            <w:r>
              <w:rPr>
                <w:color w:val="333333"/>
                <w:sz w:val="20"/>
              </w:rPr>
              <w:t>Month 1-3</w:t>
            </w:r>
          </w:p>
        </w:tc>
        <w:tc>
          <w:tcPr>
            <w:tcW w:type="dxa" w:w="3120"/>
            <w:shd w:fill="F0F4F8" w:val="clear"/>
          </w:tcPr>
          <w:p>
            <w:r/>
            <w:r>
              <w:rPr>
                <w:color w:val="333333"/>
                <w:sz w:val="20"/>
              </w:rPr>
              <w:t>Journal launched; website live; social media active; first CME delivered</w:t>
            </w:r>
          </w:p>
        </w:tc>
      </w:tr>
      <w:tr>
        <w:tc>
          <w:tcPr>
            <w:tcW w:type="dxa" w:w="3120"/>
          </w:tcPr>
          <w:p>
            <w:r/>
            <w:r>
              <w:rPr>
                <w:color w:val="333333"/>
                <w:sz w:val="20"/>
              </w:rPr>
              <w:t>Pipeline</w:t>
            </w:r>
          </w:p>
        </w:tc>
        <w:tc>
          <w:tcPr>
            <w:tcW w:type="dxa" w:w="3120"/>
          </w:tcPr>
          <w:p>
            <w:r/>
            <w:r>
              <w:rPr>
                <w:color w:val="333333"/>
                <w:sz w:val="20"/>
              </w:rPr>
              <w:t>Month 3-6</w:t>
            </w:r>
          </w:p>
        </w:tc>
        <w:tc>
          <w:tcPr>
            <w:tcW w:type="dxa" w:w="3120"/>
          </w:tcPr>
          <w:p>
            <w:r/>
            <w:r>
              <w:rPr>
                <w:color w:val="333333"/>
                <w:sz w:val="20"/>
              </w:rPr>
              <w:t>Research projects underway; conference planning; sponsorship sales</w:t>
            </w:r>
          </w:p>
        </w:tc>
      </w:tr>
      <w:tr>
        <w:tc>
          <w:tcPr>
            <w:tcW w:type="dxa" w:w="3120"/>
            <w:shd w:fill="F0F4F8" w:val="clear"/>
          </w:tcPr>
          <w:p>
            <w:r/>
            <w:r>
              <w:rPr>
                <w:color w:val="333333"/>
                <w:sz w:val="20"/>
              </w:rPr>
              <w:t>Full Year</w:t>
            </w:r>
          </w:p>
        </w:tc>
        <w:tc>
          <w:tcPr>
            <w:tcW w:type="dxa" w:w="3120"/>
            <w:shd w:fill="F0F4F8" w:val="clear"/>
          </w:tcPr>
          <w:p>
            <w:r/>
            <w:r>
              <w:rPr>
                <w:color w:val="333333"/>
                <w:sz w:val="20"/>
              </w:rPr>
              <w:t>Month 6-12</w:t>
            </w:r>
          </w:p>
        </w:tc>
        <w:tc>
          <w:tcPr>
            <w:tcW w:type="dxa" w:w="3120"/>
            <w:shd w:fill="F0F4F8" w:val="clear"/>
          </w:tcPr>
          <w:p>
            <w:r/>
            <w:r>
              <w:rPr>
                <w:color w:val="333333"/>
                <w:sz w:val="20"/>
              </w:rPr>
              <w:t>Journal published; 4+ CME activities; conference held; research published</w:t>
            </w:r>
          </w:p>
        </w:tc>
      </w:tr>
      <w:tr>
        <w:tc>
          <w:tcPr>
            <w:tcW w:type="dxa" w:w="3120"/>
          </w:tcPr>
          <w:p>
            <w:r/>
            <w:r>
              <w:rPr>
                <w:color w:val="333333"/>
                <w:sz w:val="20"/>
              </w:rPr>
              <w:t>Category A</w:t>
            </w:r>
          </w:p>
        </w:tc>
        <w:tc>
          <w:tcPr>
            <w:tcW w:type="dxa" w:w="3120"/>
          </w:tcPr>
          <w:p>
            <w:r/>
            <w:r>
              <w:rPr>
                <w:color w:val="333333"/>
                <w:sz w:val="20"/>
              </w:rPr>
              <w:t>Month 12</w:t>
            </w:r>
          </w:p>
        </w:tc>
        <w:tc>
          <w:tcPr>
            <w:tcW w:type="dxa" w:w="3120"/>
          </w:tcPr>
          <w:p>
            <w:r/>
            <w:r>
              <w:rPr>
                <w:color w:val="333333"/>
                <w:sz w:val="20"/>
              </w:rPr>
              <w:t>Evaluation with projected 900+ points</w:t>
            </w:r>
          </w:p>
        </w:tc>
      </w:tr>
      <w:tr>
        <w:tc>
          <w:tcPr>
            <w:tcW w:type="dxa" w:w="3120"/>
            <w:shd w:fill="F0F4F8" w:val="clear"/>
          </w:tcPr>
          <w:p>
            <w:r/>
            <w:r>
              <w:rPr>
                <w:color w:val="333333"/>
                <w:sz w:val="20"/>
              </w:rPr>
              <w:t>Growth</w:t>
            </w:r>
          </w:p>
        </w:tc>
        <w:tc>
          <w:tcPr>
            <w:tcW w:type="dxa" w:w="3120"/>
            <w:shd w:fill="F0F4F8" w:val="clear"/>
          </w:tcPr>
          <w:p>
            <w:r/>
            <w:r>
              <w:rPr>
                <w:color w:val="333333"/>
                <w:sz w:val="20"/>
              </w:rPr>
              <w:t>Year 2</w:t>
            </w:r>
          </w:p>
        </w:tc>
        <w:tc>
          <w:tcPr>
            <w:tcW w:type="dxa" w:w="3120"/>
            <w:shd w:fill="F0F4F8" w:val="clear"/>
          </w:tcPr>
          <w:p>
            <w:r/>
            <w:r>
              <w:rPr>
                <w:color w:val="333333"/>
                <w:sz w:val="20"/>
              </w:rPr>
              <w:t>Journal indexing advancing; revenue flowing; international partnerships</w:t>
            </w:r>
          </w:p>
        </w:tc>
      </w:tr>
      <w:tr>
        <w:tc>
          <w:tcPr>
            <w:tcW w:type="dxa" w:w="3120"/>
          </w:tcPr>
          <w:p>
            <w:r/>
            <w:r>
              <w:rPr>
                <w:color w:val="333333"/>
                <w:sz w:val="20"/>
              </w:rPr>
              <w:t>Leadership</w:t>
            </w:r>
          </w:p>
        </w:tc>
        <w:tc>
          <w:tcPr>
            <w:tcW w:type="dxa" w:w="3120"/>
          </w:tcPr>
          <w:p>
            <w:r/>
            <w:r>
              <w:rPr>
                <w:color w:val="333333"/>
                <w:sz w:val="20"/>
              </w:rPr>
              <w:t>Year 3</w:t>
            </w:r>
          </w:p>
        </w:tc>
        <w:tc>
          <w:tcPr>
            <w:tcW w:type="dxa" w:w="3120"/>
          </w:tcPr>
          <w:p>
            <w:r/>
            <w:r>
              <w:rPr>
                <w:color w:val="333333"/>
                <w:sz w:val="20"/>
              </w:rPr>
              <w:t>National reference; indexed journal; guidelines cited; must-attend conference</w:t>
            </w:r>
          </w:p>
        </w:tc>
      </w:tr>
    </w:tbl>
    <w:p>
      <w:r>
        <w:br w:type="page"/>
      </w:r>
    </w:p>
    <w:p>
      <w:pPr>
        <w:pStyle w:val="Heading1"/>
      </w:pPr>
      <w:r>
        <w:rPr>
          <w:color w:val="1E3A5F"/>
        </w:rPr>
        <w:t>7. Why This Partnership Cannot Be Replicated</w:t>
      </w:r>
    </w:p>
    <w:p>
      <w:r>
        <w:rPr>
          <w:b w:val="0"/>
          <w:color w:val="333333"/>
          <w:sz w:val="22"/>
        </w:rPr>
        <w:t>Delivering across all eight evaluation categories simultaneously requires infrastructure spanning research, publishing, education, digital media, event management, community engagement, and institutional partnerships. No single provider in the region possesses this breadth.</w:t>
      </w:r>
    </w:p>
    <w:p>
      <w:r>
        <w:rPr>
          <w:b w:val="0"/>
          <w:color w:val="333333"/>
          <w:sz w:val="22"/>
        </w:rPr>
      </w:r>
    </w:p>
    <w:p>
      <w:pPr>
        <w:pStyle w:val="ListBullet"/>
      </w:pPr>
      <w:r>
        <w:rPr>
          <w:color w:val="333333"/>
          <w:sz w:val="22"/>
        </w:rPr>
        <w:t>A scientific publishing house with three indexed journals</w:t>
      </w:r>
    </w:p>
    <w:p>
      <w:pPr>
        <w:pStyle w:val="ListBullet"/>
      </w:pPr>
      <w:r>
        <w:rPr>
          <w:color w:val="333333"/>
          <w:sz w:val="22"/>
        </w:rPr>
        <w:t>An AI-powered research factory producing systematic reviews and clinical guidelines</w:t>
      </w:r>
    </w:p>
    <w:p>
      <w:pPr>
        <w:pStyle w:val="ListBullet"/>
      </w:pPr>
      <w:r>
        <w:rPr>
          <w:color w:val="333333"/>
          <w:sz w:val="22"/>
        </w:rPr>
        <w:t>An SCFHS-accredited training academy</w:t>
      </w:r>
    </w:p>
    <w:p>
      <w:pPr>
        <w:pStyle w:val="ListBullet"/>
      </w:pPr>
      <w:r>
        <w:rPr>
          <w:color w:val="333333"/>
          <w:sz w:val="22"/>
        </w:rPr>
        <w:t>A Live Guidelines Platform continuously updating clinical guidelines</w:t>
      </w:r>
    </w:p>
    <w:p>
      <w:pPr>
        <w:pStyle w:val="ListBullet"/>
      </w:pPr>
      <w:r>
        <w:rPr>
          <w:color w:val="333333"/>
          <w:sz w:val="22"/>
        </w:rPr>
        <w:t>A clinical evidence platform with 250,000+ medical knowledge nodes</w:t>
      </w:r>
    </w:p>
    <w:p>
      <w:pPr>
        <w:pStyle w:val="ListBullet"/>
      </w:pPr>
      <w:r>
        <w:rPr>
          <w:color w:val="333333"/>
          <w:sz w:val="22"/>
        </w:rPr>
        <w:t>A national clinic network providing real-world patient data</w:t>
      </w:r>
    </w:p>
    <w:p>
      <w:pPr>
        <w:pStyle w:val="ListBullet"/>
      </w:pPr>
      <w:r>
        <w:rPr>
          <w:color w:val="333333"/>
          <w:sz w:val="22"/>
        </w:rPr>
        <w:t>An SFDA-licensed clinical research organization</w:t>
      </w:r>
    </w:p>
    <w:p>
      <w:pPr>
        <w:pStyle w:val="ListBullet"/>
      </w:pPr>
      <w:r>
        <w:rPr>
          <w:color w:val="333333"/>
          <w:sz w:val="22"/>
        </w:rPr>
        <w:t>A professional content production team</w:t>
      </w:r>
    </w:p>
    <w:p>
      <w:r>
        <w:rPr>
          <w:b w:val="0"/>
          <w:color w:val="333333"/>
          <w:sz w:val="22"/>
        </w:rPr>
      </w:r>
    </w:p>
    <w:p>
      <w:r>
        <w:rPr>
          <w:b/>
          <w:color w:val="333333"/>
          <w:sz w:val="22"/>
        </w:rPr>
        <w:t>Building this ecosystem required years. Replicating it would require simultaneous construction across research, publishing, education, clinical delivery, and technology.</w:t>
      </w:r>
    </w:p>
    <w:p>
      <w:r>
        <w:br w:type="page"/>
      </w:r>
    </w:p>
    <w:p>
      <w:pPr>
        <w:pStyle w:val="Heading1"/>
      </w:pPr>
      <w:r>
        <w:rPr>
          <w:color w:val="1E3A5F"/>
        </w:rPr>
        <w:t>8. Engagement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5F" w:val="clear"/>
          </w:tcPr>
          <w:p>
            <w:pPr>
              <w:jc w:val="center"/>
            </w:pPr>
            <w:r/>
            <w:r>
              <w:rPr>
                <w:b/>
                <w:color w:val="FFFFFF"/>
                <w:sz w:val="20"/>
              </w:rPr>
              <w:t>Phase</w:t>
            </w:r>
          </w:p>
        </w:tc>
        <w:tc>
          <w:tcPr>
            <w:tcW w:type="dxa" w:w="3120"/>
            <w:shd w:fill="1E3A5F" w:val="clear"/>
          </w:tcPr>
          <w:p>
            <w:pPr>
              <w:jc w:val="center"/>
            </w:pPr>
            <w:r/>
            <w:r>
              <w:rPr>
                <w:b/>
                <w:color w:val="FFFFFF"/>
                <w:sz w:val="20"/>
              </w:rPr>
              <w:t>Activity</w:t>
            </w:r>
          </w:p>
        </w:tc>
        <w:tc>
          <w:tcPr>
            <w:tcW w:type="dxa" w:w="3120"/>
            <w:shd w:fill="1E3A5F" w:val="clear"/>
          </w:tcPr>
          <w:p>
            <w:pPr>
              <w:jc w:val="center"/>
            </w:pPr>
            <w:r/>
            <w:r>
              <w:rPr>
                <w:b/>
                <w:color w:val="FFFFFF"/>
                <w:sz w:val="20"/>
              </w:rPr>
              <w:t>Duration</w:t>
            </w:r>
          </w:p>
        </w:tc>
      </w:tr>
      <w:tr>
        <w:tc>
          <w:tcPr>
            <w:tcW w:type="dxa" w:w="3120"/>
          </w:tcPr>
          <w:p>
            <w:r/>
            <w:r>
              <w:rPr>
                <w:color w:val="333333"/>
                <w:sz w:val="20"/>
              </w:rPr>
              <w:t>1. Inquiry</w:t>
            </w:r>
          </w:p>
        </w:tc>
        <w:tc>
          <w:tcPr>
            <w:tcW w:type="dxa" w:w="3120"/>
          </w:tcPr>
          <w:p>
            <w:r/>
            <w:r>
              <w:rPr>
                <w:color w:val="333333"/>
                <w:sz w:val="20"/>
              </w:rPr>
              <w:t>Initial conversation with society leadership</w:t>
            </w:r>
          </w:p>
        </w:tc>
        <w:tc>
          <w:tcPr>
            <w:tcW w:type="dxa" w:w="3120"/>
          </w:tcPr>
          <w:p>
            <w:r/>
            <w:r>
              <w:rPr>
                <w:color w:val="333333"/>
                <w:sz w:val="20"/>
              </w:rPr>
              <w:t>1-2 meetings</w:t>
            </w:r>
          </w:p>
        </w:tc>
      </w:tr>
      <w:tr>
        <w:tc>
          <w:tcPr>
            <w:tcW w:type="dxa" w:w="3120"/>
            <w:shd w:fill="F0F4F8" w:val="clear"/>
          </w:tcPr>
          <w:p>
            <w:r/>
            <w:r>
              <w:rPr>
                <w:color w:val="333333"/>
                <w:sz w:val="20"/>
              </w:rPr>
              <w:t>2. Assessment</w:t>
            </w:r>
          </w:p>
        </w:tc>
        <w:tc>
          <w:tcPr>
            <w:tcW w:type="dxa" w:w="3120"/>
            <w:shd w:fill="F0F4F8" w:val="clear"/>
          </w:tcPr>
          <w:p>
            <w:r/>
            <w:r>
              <w:rPr>
                <w:color w:val="333333"/>
                <w:sz w:val="20"/>
              </w:rPr>
              <w:t>Scoring analysis against all 8 categories; gap identification</w:t>
            </w:r>
          </w:p>
        </w:tc>
        <w:tc>
          <w:tcPr>
            <w:tcW w:type="dxa" w:w="3120"/>
            <w:shd w:fill="F0F4F8" w:val="clear"/>
          </w:tcPr>
          <w:p>
            <w:r/>
            <w:r>
              <w:rPr>
                <w:color w:val="333333"/>
                <w:sz w:val="20"/>
              </w:rPr>
              <w:t>2 weeks</w:t>
            </w:r>
          </w:p>
        </w:tc>
      </w:tr>
      <w:tr>
        <w:tc>
          <w:tcPr>
            <w:tcW w:type="dxa" w:w="3120"/>
          </w:tcPr>
          <w:p>
            <w:r/>
            <w:r>
              <w:rPr>
                <w:color w:val="333333"/>
                <w:sz w:val="20"/>
              </w:rPr>
              <w:t>3. Custom Plan</w:t>
            </w:r>
          </w:p>
        </w:tc>
        <w:tc>
          <w:tcPr>
            <w:tcW w:type="dxa" w:w="3120"/>
          </w:tcPr>
          <w:p>
            <w:r/>
            <w:r>
              <w:rPr>
                <w:color w:val="333333"/>
                <w:sz w:val="20"/>
              </w:rPr>
              <w:t>Tailored infrastructure deployment plan with projected scoring</w:t>
            </w:r>
          </w:p>
        </w:tc>
        <w:tc>
          <w:tcPr>
            <w:tcW w:type="dxa" w:w="3120"/>
          </w:tcPr>
          <w:p>
            <w:r/>
            <w:r>
              <w:rPr>
                <w:color w:val="333333"/>
                <w:sz w:val="20"/>
              </w:rPr>
              <w:t>1 week</w:t>
            </w:r>
          </w:p>
        </w:tc>
      </w:tr>
      <w:tr>
        <w:tc>
          <w:tcPr>
            <w:tcW w:type="dxa" w:w="3120"/>
            <w:shd w:fill="F0F4F8" w:val="clear"/>
          </w:tcPr>
          <w:p>
            <w:r/>
            <w:r>
              <w:rPr>
                <w:color w:val="333333"/>
                <w:sz w:val="20"/>
              </w:rPr>
              <w:t>4. Agreement</w:t>
            </w:r>
          </w:p>
        </w:tc>
        <w:tc>
          <w:tcPr>
            <w:tcW w:type="dxa" w:w="3120"/>
            <w:shd w:fill="F0F4F8" w:val="clear"/>
          </w:tcPr>
          <w:p>
            <w:r/>
            <w:r>
              <w:rPr>
                <w:color w:val="333333"/>
                <w:sz w:val="20"/>
              </w:rPr>
              <w:t>Partnership signed; zero upfront cost</w:t>
            </w:r>
          </w:p>
        </w:tc>
        <w:tc>
          <w:tcPr>
            <w:tcW w:type="dxa" w:w="3120"/>
            <w:shd w:fill="F0F4F8" w:val="clear"/>
          </w:tcPr>
          <w:p>
            <w:r/>
            <w:r>
              <w:rPr>
                <w:color w:val="333333"/>
                <w:sz w:val="20"/>
              </w:rPr>
              <w:t>Week 4</w:t>
            </w:r>
          </w:p>
        </w:tc>
      </w:tr>
      <w:tr>
        <w:tc>
          <w:tcPr>
            <w:tcW w:type="dxa" w:w="3120"/>
          </w:tcPr>
          <w:p>
            <w:r/>
            <w:r>
              <w:rPr>
                <w:color w:val="333333"/>
                <w:sz w:val="20"/>
              </w:rPr>
              <w:t>5. Deployment</w:t>
            </w:r>
          </w:p>
        </w:tc>
        <w:tc>
          <w:tcPr>
            <w:tcW w:type="dxa" w:w="3120"/>
          </w:tcPr>
          <w:p>
            <w:r/>
            <w:r>
              <w:rPr>
                <w:color w:val="333333"/>
                <w:sz w:val="20"/>
              </w:rPr>
              <w:t>Infrastructure deployed under society brand</w:t>
            </w:r>
          </w:p>
        </w:tc>
        <w:tc>
          <w:tcPr>
            <w:tcW w:type="dxa" w:w="3120"/>
          </w:tcPr>
          <w:p>
            <w:r/>
            <w:r>
              <w:rPr>
                <w:color w:val="333333"/>
                <w:sz w:val="20"/>
              </w:rPr>
              <w:t>Month 1-3</w:t>
            </w:r>
          </w:p>
        </w:tc>
      </w:tr>
      <w:tr>
        <w:tc>
          <w:tcPr>
            <w:tcW w:type="dxa" w:w="3120"/>
            <w:shd w:fill="F0F4F8" w:val="clear"/>
          </w:tcPr>
          <w:p>
            <w:r/>
            <w:r>
              <w:rPr>
                <w:color w:val="333333"/>
                <w:sz w:val="20"/>
              </w:rPr>
              <w:t>6. Review</w:t>
            </w:r>
          </w:p>
        </w:tc>
        <w:tc>
          <w:tcPr>
            <w:tcW w:type="dxa" w:w="3120"/>
            <w:shd w:fill="F0F4F8" w:val="clear"/>
          </w:tcPr>
          <w:p>
            <w:r/>
            <w:r>
              <w:rPr>
                <w:color w:val="333333"/>
                <w:sz w:val="20"/>
              </w:rPr>
              <w:t>Annual performance review with plan refinement</w:t>
            </w:r>
          </w:p>
        </w:tc>
        <w:tc>
          <w:tcPr>
            <w:tcW w:type="dxa" w:w="3120"/>
            <w:shd w:fill="F0F4F8" w:val="clear"/>
          </w:tcPr>
          <w:p>
            <w:r/>
            <w:r>
              <w:rPr>
                <w:color w:val="333333"/>
                <w:sz w:val="20"/>
              </w:rPr>
              <w:t>Annual</w:t>
            </w:r>
          </w:p>
        </w:tc>
      </w:tr>
    </w:tbl>
    <w:p>
      <w:r>
        <w:br w:type="page"/>
      </w:r>
    </w:p>
    <w:p>
      <w:pPr>
        <w:pStyle w:val="Heading1"/>
      </w:pPr>
      <w:r>
        <w:rPr>
          <w:color w:val="1E3A5F"/>
        </w:rPr>
        <w:t>About the Theeb Ecosystem</w:t>
      </w:r>
    </w:p>
    <w:p>
      <w:r>
        <w:rPr>
          <w:b w:val="0"/>
          <w:color w:val="333333"/>
          <w:sz w:val="22"/>
        </w:rPr>
        <w:t>The Theeb Ecosystem is a network of twelve specialized healthcare entities organized into four strategic groups: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5F" w:val="clear"/>
          </w:tcPr>
          <w:p>
            <w:pPr>
              <w:jc w:val="center"/>
            </w:pPr>
            <w:r/>
            <w:r>
              <w:rPr>
                <w:b/>
                <w:color w:val="FFFFFF"/>
                <w:sz w:val="20"/>
              </w:rPr>
              <w:t>Group</w:t>
            </w:r>
          </w:p>
        </w:tc>
        <w:tc>
          <w:tcPr>
            <w:tcW w:type="dxa" w:w="3120"/>
            <w:shd w:fill="1E3A5F" w:val="clear"/>
          </w:tcPr>
          <w:p>
            <w:pPr>
              <w:jc w:val="center"/>
            </w:pPr>
            <w:r/>
            <w:r>
              <w:rPr>
                <w:b/>
                <w:color w:val="FFFFFF"/>
                <w:sz w:val="20"/>
              </w:rPr>
              <w:t>Focus</w:t>
            </w:r>
          </w:p>
        </w:tc>
        <w:tc>
          <w:tcPr>
            <w:tcW w:type="dxa" w:w="3120"/>
            <w:shd w:fill="1E3A5F" w:val="clear"/>
          </w:tcPr>
          <w:p>
            <w:pPr>
              <w:jc w:val="center"/>
            </w:pPr>
            <w:r/>
            <w:r>
              <w:rPr>
                <w:b/>
                <w:color w:val="FFFFFF"/>
                <w:sz w:val="20"/>
              </w:rPr>
              <w:t>Key Entities</w:t>
            </w:r>
          </w:p>
        </w:tc>
      </w:tr>
      <w:tr>
        <w:tc>
          <w:tcPr>
            <w:tcW w:type="dxa" w:w="3120"/>
          </w:tcPr>
          <w:p>
            <w:r/>
            <w:r>
              <w:rPr>
                <w:color w:val="333333"/>
                <w:sz w:val="20"/>
              </w:rPr>
              <w:t>Theeb Knowledge Group (TKG)</w:t>
            </w:r>
          </w:p>
        </w:tc>
        <w:tc>
          <w:tcPr>
            <w:tcW w:type="dxa" w:w="3120"/>
          </w:tcPr>
          <w:p>
            <w:r/>
            <w:r>
              <w:rPr>
                <w:color w:val="333333"/>
                <w:sz w:val="20"/>
              </w:rPr>
              <w:t>Scientific credibility and knowledge production</w:t>
            </w:r>
          </w:p>
        </w:tc>
        <w:tc>
          <w:tcPr>
            <w:tcW w:type="dxa" w:w="3120"/>
          </w:tcPr>
          <w:p>
            <w:r/>
            <w:r>
              <w:rPr>
                <w:color w:val="333333"/>
                <w:sz w:val="20"/>
              </w:rPr>
              <w:t>Waraqa Publishing | Nama Medical (CRO) | Nama Academy | Nama Bio | Evidence Platform | PubHelper</w:t>
            </w:r>
          </w:p>
        </w:tc>
      </w:tr>
      <w:tr>
        <w:tc>
          <w:tcPr>
            <w:tcW w:type="dxa" w:w="3120"/>
            <w:shd w:fill="F0F4F8" w:val="clear"/>
          </w:tcPr>
          <w:p>
            <w:r/>
            <w:r>
              <w:rPr>
                <w:color w:val="333333"/>
                <w:sz w:val="20"/>
              </w:rPr>
              <w:t>Theeb Value Group (TVG)</w:t>
            </w:r>
          </w:p>
        </w:tc>
        <w:tc>
          <w:tcPr>
            <w:tcW w:type="dxa" w:w="3120"/>
            <w:shd w:fill="F0F4F8" w:val="clear"/>
          </w:tcPr>
          <w:p>
            <w:r/>
            <w:r>
              <w:rPr>
                <w:color w:val="333333"/>
                <w:sz w:val="20"/>
              </w:rPr>
              <w:t>Financial intelligence and value-based healthcare</w:t>
            </w:r>
          </w:p>
        </w:tc>
        <w:tc>
          <w:tcPr>
            <w:tcW w:type="dxa" w:w="3120"/>
            <w:shd w:fill="F0F4F8" w:val="clear"/>
          </w:tcPr>
          <w:p>
            <w:r/>
            <w:r>
              <w:rPr>
                <w:color w:val="333333"/>
                <w:sz w:val="20"/>
              </w:rPr>
              <w:t>Integra RCM | Nexus MGA | VBH Company</w:t>
            </w:r>
          </w:p>
        </w:tc>
      </w:tr>
      <w:tr>
        <w:tc>
          <w:tcPr>
            <w:tcW w:type="dxa" w:w="3120"/>
          </w:tcPr>
          <w:p>
            <w:r/>
            <w:r>
              <w:rPr>
                <w:color w:val="333333"/>
                <w:sz w:val="20"/>
              </w:rPr>
              <w:t>Theeb Health Delivery Group (THDG)</w:t>
            </w:r>
          </w:p>
        </w:tc>
        <w:tc>
          <w:tcPr>
            <w:tcW w:type="dxa" w:w="3120"/>
          </w:tcPr>
          <w:p>
            <w:r/>
            <w:r>
              <w:rPr>
                <w:color w:val="333333"/>
                <w:sz w:val="20"/>
              </w:rPr>
              <w:t>Patient-facing clinical delivery</w:t>
            </w:r>
          </w:p>
        </w:tc>
        <w:tc>
          <w:tcPr>
            <w:tcW w:type="dxa" w:w="3120"/>
          </w:tcPr>
          <w:p>
            <w:r/>
            <w:r>
              <w:rPr>
                <w:color w:val="333333"/>
                <w:sz w:val="20"/>
              </w:rPr>
              <w:t>Welunion Clinics | Integrative Health | TAP Pharmacy</w:t>
            </w:r>
          </w:p>
        </w:tc>
      </w:tr>
      <w:tr>
        <w:tc>
          <w:tcPr>
            <w:tcW w:type="dxa" w:w="3120"/>
            <w:shd w:fill="F0F4F8" w:val="clear"/>
          </w:tcPr>
          <w:p>
            <w:r/>
            <w:r>
              <w:rPr>
                <w:color w:val="333333"/>
                <w:sz w:val="20"/>
              </w:rPr>
              <w:t>Theeb Technology Group (TTG)</w:t>
            </w:r>
          </w:p>
        </w:tc>
        <w:tc>
          <w:tcPr>
            <w:tcW w:type="dxa" w:w="3120"/>
            <w:shd w:fill="F0F4F8" w:val="clear"/>
          </w:tcPr>
          <w:p>
            <w:r/>
            <w:r>
              <w:rPr>
                <w:color w:val="333333"/>
                <w:sz w:val="20"/>
              </w:rPr>
              <w:t>AI infrastructure and clinical intelligence</w:t>
            </w:r>
          </w:p>
        </w:tc>
        <w:tc>
          <w:tcPr>
            <w:tcW w:type="dxa" w:w="3120"/>
            <w:shd w:fill="F0F4F8" w:val="clear"/>
          </w:tcPr>
          <w:p>
            <w:r/>
            <w:r>
              <w:rPr>
                <w:color w:val="333333"/>
                <w:sz w:val="20"/>
              </w:rPr>
              <w:t>Clinical Intelligence Infrastructure (CII)</w:t>
            </w:r>
          </w:p>
        </w:tc>
      </w:tr>
    </w:tbl>
    <w:p>
      <w:r>
        <w:rPr>
          <w:b w:val="0"/>
          <w:color w:val="333333"/>
          <w:sz w:val="22"/>
        </w:rPr>
      </w:r>
    </w:p>
    <w:p>
      <w:r>
        <w:br w:type="page"/>
      </w:r>
    </w:p>
    <w:p>
      <w:pPr>
        <w:pStyle w:val="Heading1"/>
      </w:pPr>
      <w:r>
        <w:rPr>
          <w:color w:val="1E3A5F"/>
        </w:rPr>
        <w:t>Next Step</w:t>
      </w:r>
    </w:p>
    <w:p>
      <w:r>
        <w:rPr>
          <w:b w:val="0"/>
          <w:color w:val="333333"/>
          <w:sz w:val="22"/>
        </w:rPr>
        <w:t>Your society has the expertise and the authority in your specialty. We have the infrastructure to transform that expertise into measurable, sustainable impact. Together, we build something that neither can build alone.</w:t>
      </w:r>
    </w:p>
    <w:p>
      <w:r>
        <w:rPr>
          <w:b w:val="0"/>
          <w:color w:val="333333"/>
          <w:sz w:val="22"/>
        </w:rPr>
      </w:r>
    </w:p>
    <w:p>
      <w:r>
        <w:rPr>
          <w:b w:val="0"/>
          <w:color w:val="333333"/>
          <w:sz w:val="22"/>
        </w:rPr>
        <w:t>We invite your society’s leadership to an initial consultation to explore how this partnership can accelerate your path to Category A.</w:t>
      </w:r>
    </w:p>
    <w:p>
      <w:r>
        <w:rPr>
          <w:b w:val="0"/>
          <w:color w:val="333333"/>
          <w:sz w:val="22"/>
        </w:rPr>
      </w:r>
    </w:p>
    <w:p>
      <w:r>
        <w:rPr>
          <w:b/>
          <w:color w:val="1E3A5F"/>
          <w:sz w:val="24"/>
        </w:rPr>
        <w:t>Dr. Theeb Al-Theeb</w:t>
      </w:r>
    </w:p>
    <w:p>
      <w:r>
        <w:rPr>
          <w:b w:val="0"/>
          <w:color w:val="333333"/>
          <w:sz w:val="22"/>
        </w:rPr>
        <w:t>Founder and Group CEO, Theeb Ecosystem</w:t>
      </w:r>
    </w:p>
    <w:p>
      <w:r>
        <w:rPr>
          <w:b w:val="0"/>
          <w:color w:val="333333"/>
          <w:sz w:val="22"/>
        </w:rPr>
        <w:t>theeb@namamed.sa</w:t>
      </w:r>
    </w:p>
    <w:p>
      <w:r>
        <w:rPr>
          <w:b w:val="0"/>
          <w:color w:val="333333"/>
          <w:sz w:val="22"/>
        </w:rPr>
        <w:t>+966 50 052 0242</w:t>
      </w:r>
    </w:p>
    <w:p>
      <w:r>
        <w:rPr>
          <w:b w:val="0"/>
          <w:color w:val="333333"/>
          <w:sz w:val="22"/>
        </w:rPr>
        <w:t>nama.med.sa</w:t>
      </w:r>
    </w:p>
    <w:p>
      <w:r>
        <w:rPr>
          <w:b w:val="0"/>
          <w:color w:val="333333"/>
          <w:sz w:val="22"/>
        </w:rPr>
      </w:r>
    </w:p>
    <w:p>
      <w:pPr>
        <w:jc w:val="center"/>
      </w:pPr>
      <w:r>
        <w:rPr>
          <w:b/>
          <w:i/>
          <w:color w:val="C9A84C"/>
          <w:sz w:val="26"/>
        </w:rPr>
        <w:t>We build the infrastructure. You lead the specialty.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