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20"/>
              <w:left w:type="dxa" w:w="360"/>
              <w:bottom w:type="dxa" w:w="220"/>
              <w:right w:type="dxa" w:w="360"/>
            </w:tcMar>
          </w:tcPr>
          <w:p>
            <w:pPr>
              <w:spacing w:after="0" w:before="0"/>
            </w:pPr>
            <w:r>
              <w:rPr>
                <w:b/>
                <w:bCs/>
                <w:color w:val="FFFFFF"/>
                <w:sz w:val="60"/>
                <w:szCs w:val="60"/>
              </w:rPr>
              <w:t xml:space="preserve">THEEB GROUP</w:t>
            </w:r>
          </w:p>
        </w:tc>
      </w:tr>
    </w:tbl>
    <w:p>
      <w:pPr>
        <w:spacing w:after="0" w:before="600"/>
      </w:pPr>
      <w:r>
        <w:t xml:space="preserve"/>
      </w:r>
    </w:p>
    <w:p>
      <w:pPr>
        <w:spacing w:after="180" w:before="0"/>
      </w:pPr>
      <w:r>
        <w:rPr>
          <w:b/>
          <w:bCs/>
          <w:color w:val="1A2E4A"/>
          <w:sz w:val="52"/>
          <w:szCs w:val="52"/>
        </w:rPr>
        <w:t xml:space="preserve">MASTER ARCHITECTURE DOCUMENT</w:t>
      </w:r>
    </w:p>
    <w:p>
      <w:pPr>
        <w:pBdr>
          <w:bottom w:val="single" w:color="2E75B6" w:sz="12" w:space="1"/>
        </w:pBdr>
        <w:spacing w:after="120" w:before="120"/>
      </w:pPr>
    </w:p>
    <w:p>
      <w:pPr>
        <w:spacing w:after="0" w:before="160"/>
      </w:pPr>
      <w:r>
        <w:t xml:space="preserve"/>
      </w:r>
    </w:p>
    <w:p>
      <w:pPr>
        <w:spacing w:after="480" w:before="0"/>
      </w:pPr>
      <w:r>
        <w:rPr>
          <w:i/>
          <w:iCs/>
          <w:color w:val="555555"/>
          <w:sz w:val="28"/>
          <w:szCs w:val="28"/>
        </w:rPr>
        <w:t xml:space="preserve">Institutional Blueprint for a Multi-Decade Healthcare Ecosystem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Classification</w:t>
            </w:r>
          </w:p>
        </w:tc>
        <w:tc>
          <w:tcPr>
            <w:tcW w:type="dxa" w:w="67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Confidential — Founder &amp; Executive Leadership</w:t>
            </w:r>
          </w:p>
        </w:tc>
      </w:tr>
      <w:tr>
        <w:tc>
          <w:tcPr>
            <w:tcW w:type="dxa" w:w="26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Version</w:t>
            </w:r>
          </w:p>
        </w:tc>
        <w:tc>
          <w:tcPr>
            <w:tcW w:type="dxa" w:w="67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1.0 — March 2026</w:t>
            </w:r>
          </w:p>
        </w:tc>
      </w:tr>
      <w:tr>
        <w:tc>
          <w:tcPr>
            <w:tcW w:type="dxa" w:w="26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Authority</w:t>
            </w:r>
          </w:p>
        </w:tc>
        <w:tc>
          <w:tcPr>
            <w:tcW w:type="dxa" w:w="67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Dr. Theeb Alqahtani, Founder &amp; Group Chairman</w:t>
            </w:r>
          </w:p>
        </w:tc>
      </w:tr>
      <w:tr>
        <w:tc>
          <w:tcPr>
            <w:tcW w:type="dxa" w:w="26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Horizon</w:t>
            </w:r>
          </w:p>
        </w:tc>
        <w:tc>
          <w:tcPr>
            <w:tcW w:type="dxa" w:w="67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30 to 50 Years — Multi-Generational Institutional Design</w:t>
            </w:r>
          </w:p>
        </w:tc>
      </w:tr>
      <w:tr>
        <w:tc>
          <w:tcPr>
            <w:tcW w:type="dxa" w:w="26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Purpose</w:t>
            </w:r>
          </w:p>
        </w:tc>
        <w:tc>
          <w:tcPr>
            <w:tcW w:type="dxa" w:w="67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Master constitutional reference for all current and future entities in the ecosystem</w:t>
            </w:r>
          </w:p>
        </w:tc>
      </w:tr>
    </w:tbl>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220"/>
              <w:left w:type="dxa" w:w="360"/>
              <w:bottom w:type="dxa" w:w="220"/>
              <w:right w:type="dxa" w:w="360"/>
            </w:tcMar>
          </w:tcPr>
          <w:p>
            <w:pPr>
              <w:spacing w:after="0" w:before="0"/>
              <w:jc w:val="center"/>
            </w:pPr>
            <w:r>
              <w:rPr>
                <w:i/>
                <w:iCs/>
                <w:color w:val="1A2E4A"/>
                <w:sz w:val="22"/>
                <w:szCs w:val="22"/>
              </w:rPr>
              <w:t xml:space="preserve">This document establishes the foundational architecture of Theeb Group — a knowledge-driven healthcare ecosystem built to shape the future of medicine in Saudi Arabia and the Arab world. It is not a business plan. It is an institutional constitution.</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40"/>
              <w:left w:type="dxa" w:w="360"/>
              <w:bottom w:type="dxa" w:w="40"/>
              <w:right w:type="dxa" w:w="360"/>
            </w:tcMar>
          </w:tcPr>
          <w:p>
            <w:pPr>
              <w:spacing w:after="60" w:before="0"/>
            </w:pPr>
            <w:r>
              <w:rPr>
                <w:b/>
                <w:bCs/>
                <w:caps/>
                <w:color w:val="2E75B6"/>
                <w:sz w:val="18"/>
                <w:szCs w:val="18"/>
              </w:rPr>
              <w:t xml:space="preserve">PREAMBLE</w:t>
            </w:r>
          </w:p>
          <w:p>
            <w:pPr>
              <w:spacing w:after="80" w:before="0"/>
            </w:pPr>
            <w:r>
              <w:rPr>
                <w:b/>
                <w:bCs/>
                <w:color w:val="FFFFFF"/>
                <w:sz w:val="38"/>
                <w:szCs w:val="38"/>
              </w:rPr>
              <w:t xml:space="preserve">An Institutional Declaration</w:t>
            </w:r>
          </w:p>
          <w:p>
            <w:pPr>
              <w:spacing w:after="180" w:before="0"/>
            </w:pPr>
            <w:r>
              <w:rPr>
                <w:i/>
                <w:iCs/>
                <w:color w:val="BDD7EE"/>
                <w:sz w:val="20"/>
                <w:szCs w:val="20"/>
              </w:rPr>
              <w:t xml:space="preserve">The nature and purpose of this document</w:t>
            </w:r>
          </w:p>
        </w:tc>
      </w:tr>
    </w:tbl>
    <w:p>
      <w:pPr>
        <w:spacing w:after="0" w:before="280"/>
      </w:pPr>
      <w:r>
        <w:t xml:space="preserve"/>
      </w:r>
    </w:p>
    <w:p>
      <w:pPr>
        <w:spacing w:after="140" w:before="60"/>
      </w:pPr>
      <w:r>
        <w:rPr>
          <w:color w:val="1A1A1A"/>
          <w:sz w:val="22"/>
          <w:szCs w:val="22"/>
        </w:rPr>
        <w:t xml:space="preserve">This document is not a strategy memo. It is not a pitch deck. It is not a plan for the next fiscal year.</w:t>
      </w:r>
    </w:p>
    <w:p>
      <w:pPr>
        <w:spacing w:after="140" w:before="60"/>
      </w:pPr>
      <w:r>
        <w:rPr>
          <w:color w:val="1A1A1A"/>
          <w:sz w:val="22"/>
          <w:szCs w:val="22"/>
        </w:rPr>
        <w:t xml:space="preserve">It is the constitutional architecture of an institution — a framework designed to guide the creation, evolution, and governance of a multi-decade healthcare ecosystem. Every company built under the Theeb Group name, now or in the future, must align with the principles, structures, and values contained in this document.</w:t>
      </w:r>
    </w:p>
    <w:p>
      <w:pPr>
        <w:spacing w:after="140" w:before="60"/>
      </w:pPr>
      <w:r>
        <w:rPr>
          <w:color w:val="1A1A1A"/>
          <w:sz w:val="22"/>
          <w:szCs w:val="22"/>
        </w:rPr>
        <w:t xml:space="preserve">Healthcare systems are among the most complex human creations. They sit at the intersection of science, economics, ethics, and civilization. When they function well, they extend human capability and reduce suffering. When they fail, the consequences are immediate and irreversible.</w:t>
      </w:r>
    </w:p>
    <w:p>
      <w:pPr>
        <w:spacing w:after="140" w:before="60"/>
      </w:pPr>
      <w:r>
        <w:rPr>
          <w:color w:val="1A1A1A"/>
          <w:sz w:val="22"/>
          <w:szCs w:val="22"/>
        </w:rPr>
        <w:t xml:space="preserve">Theeb Group is built on a single conviction: that the Arab world deserves a world-class, sovereign, locally-rooted healthcare ecosystem — one that generates its own knowledge, designs its own economic models, delivers its own care, and continually improves through the interaction of these three functions.</w:t>
      </w:r>
    </w:p>
    <w:p>
      <w:pPr>
        <w:spacing w:after="140" w:before="60"/>
      </w:pPr>
      <w:r>
        <w:rPr>
          <w:color w:val="1A1A1A"/>
          <w:sz w:val="22"/>
          <w:szCs w:val="22"/>
        </w:rPr>
        <w:t xml:space="preserve">This document defines how that ecosystem is structured, why it is structured that way, and what principles will govern it across generations of leadership.</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2E4A"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BF2FA" w:val="clear"/>
            <w:tcMar>
              <w:top w:type="dxa" w:w="160"/>
              <w:left w:type="dxa" w:w="220"/>
              <w:bottom w:type="dxa" w:w="160"/>
              <w:right w:type="dxa" w:w="220"/>
            </w:tcMar>
          </w:tcPr>
          <w:p>
            <w:pPr>
              <w:spacing w:after="0" w:before="0"/>
            </w:pPr>
            <w:r>
              <w:rPr>
                <w:i/>
                <w:iCs/>
                <w:color w:val="1A2E4A"/>
                <w:sz w:val="22"/>
                <w:szCs w:val="22"/>
              </w:rPr>
              <w:t xml:space="preserve">The architect of a multi-decade institution must think not in terms of quarterly results, but in terms of what endures. Endurance comes from structural integrity, not from individual genius.</w:t>
            </w:r>
          </w:p>
        </w:tc>
      </w:tr>
    </w:tbl>
    <w:p>
      <w:pPr>
        <w:spacing w:after="0" w:before="2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40"/>
              <w:left w:type="dxa" w:w="360"/>
              <w:bottom w:type="dxa" w:w="40"/>
              <w:right w:type="dxa" w:w="360"/>
            </w:tcMar>
          </w:tcPr>
          <w:p>
            <w:pPr>
              <w:spacing w:after="60" w:before="0"/>
            </w:pPr>
            <w:r>
              <w:rPr>
                <w:b/>
                <w:bCs/>
                <w:caps/>
                <w:color w:val="2E75B6"/>
                <w:sz w:val="18"/>
                <w:szCs w:val="18"/>
              </w:rPr>
              <w:t xml:space="preserve">SECTION I</w:t>
            </w:r>
          </w:p>
          <w:p>
            <w:pPr>
              <w:spacing w:after="80" w:before="0"/>
            </w:pPr>
            <w:r>
              <w:rPr>
                <w:b/>
                <w:bCs/>
                <w:color w:val="FFFFFF"/>
                <w:sz w:val="38"/>
                <w:szCs w:val="38"/>
              </w:rPr>
              <w:t xml:space="preserve">Foundational Philosophy of the Ecosystem</w:t>
            </w:r>
          </w:p>
          <w:p>
            <w:pPr>
              <w:spacing w:after="180" w:before="0"/>
            </w:pPr>
            <w:r>
              <w:rPr>
                <w:i/>
                <w:iCs/>
                <w:color w:val="BDD7EE"/>
                <w:sz w:val="20"/>
                <w:szCs w:val="20"/>
              </w:rPr>
              <w:t xml:space="preserve">The beliefs that shape every architectural decision</w:t>
            </w:r>
          </w:p>
        </w:tc>
      </w:tr>
    </w:tbl>
    <w:p>
      <w:pPr>
        <w:spacing w:after="0" w:before="280"/>
      </w:pPr>
      <w:r>
        <w:t xml:space="preserve"/>
      </w:r>
    </w:p>
    <w:p>
      <w:pPr>
        <w:pStyle w:val="Heading2"/>
      </w:pPr>
      <w:r>
        <w:t xml:space="preserve">I.1  Healthcare as a Knowledge System</w:t>
      </w:r>
    </w:p>
    <w:p>
      <w:pPr>
        <w:spacing w:after="140" w:before="60"/>
      </w:pPr>
      <w:r>
        <w:rPr>
          <w:color w:val="1A1A1A"/>
          <w:sz w:val="22"/>
          <w:szCs w:val="22"/>
        </w:rPr>
        <w:t xml:space="preserve">Healthcare, at its deepest level, is a knowledge problem. Every clinical decision — which drug to prescribe, which procedure to perform, which patient to monitor — is an act of applied knowledge. The quality of care delivered in any system is bounded by the quality of the knowledge available to its practitioners.</w:t>
      </w:r>
    </w:p>
    <w:p>
      <w:pPr>
        <w:spacing w:after="140" w:before="60"/>
      </w:pPr>
      <w:r>
        <w:rPr>
          <w:color w:val="1A1A1A"/>
          <w:sz w:val="22"/>
          <w:szCs w:val="22"/>
        </w:rPr>
        <w:t xml:space="preserve">This insight has profound implications for how a healthcare organization should be structured. A system that treats care delivery as its primary function, without generating and continuously improving the knowledge that underlies that care, will plateau. It will deliver today's knowledge at an improving cost, but it will not advance the frontier.</w:t>
      </w:r>
    </w:p>
    <w:p>
      <w:pPr>
        <w:spacing w:after="140" w:before="60"/>
      </w:pPr>
      <w:r>
        <w:rPr>
          <w:color w:val="1A1A1A"/>
          <w:sz w:val="22"/>
          <w:szCs w:val="22"/>
        </w:rPr>
        <w:t xml:space="preserve">Theeb Group is built on the premise that healthcare organizations must be designed as knowledge systems first, and care delivery systems second. This does not diminish the importance of care delivery — it elevates it, by ensuring that every clinical encounter is informed by the best possible knowledge and contributes to the generation of better knowledge for the future.</w:t>
      </w:r>
    </w:p>
    <w:p>
      <w:pPr>
        <w:pStyle w:val="Heading2"/>
      </w:pPr>
      <w:r>
        <w:t xml:space="preserve">I.2  The Three Fundamental Functions</w:t>
      </w:r>
    </w:p>
    <w:p>
      <w:pPr>
        <w:spacing w:after="140" w:before="60"/>
      </w:pPr>
      <w:r>
        <w:rPr>
          <w:color w:val="1A1A1A"/>
          <w:sz w:val="22"/>
          <w:szCs w:val="22"/>
        </w:rPr>
        <w:t xml:space="preserve">Any sustainable, high-performing healthcare ecosystem must fulfill three fundamental functions: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Function</w:t>
            </w:r>
          </w:p>
        </w:tc>
        <w:tc>
          <w:tcPr>
            <w:tcW w:type="dxa" w:w="736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Definition and Strategic Role</w:t>
            </w:r>
          </w:p>
        </w:tc>
      </w:tr>
      <w:tr>
        <w:tc>
          <w:tcPr>
            <w:tcW w:type="dxa" w:w="20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GENERATE KNOWLEDGE</w:t>
            </w:r>
          </w:p>
        </w:tc>
        <w:tc>
          <w:tcPr>
            <w:tcW w:type="dxa" w:w="73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Produce, validate, and organize the scientific understanding that informs all clinical decisions. Without this function, a healthcare system consumes knowledge it did not create, remains dependent on external sources, and cannot adapt to its own population's needs.</w:t>
            </w:r>
          </w:p>
        </w:tc>
      </w:tr>
      <w:tr>
        <w:tc>
          <w:tcPr>
            <w:tcW w:type="dxa" w:w="20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ASSIGN VALUE</w:t>
            </w:r>
          </w:p>
        </w:tc>
        <w:tc>
          <w:tcPr>
            <w:tcW w:type="dxa" w:w="73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Transform clinical activity into measurable, economically sustainable outcomes. Without this function, even excellent care cannot be sustained, financed, or scaled. Value creation is the bridge between clinical excellence and institutional durability.</w:t>
            </w:r>
          </w:p>
        </w:tc>
      </w:tr>
      <w:tr>
        <w:tc>
          <w:tcPr>
            <w:tcW w:type="dxa" w:w="20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DELIVER CARE</w:t>
            </w:r>
          </w:p>
        </w:tc>
        <w:tc>
          <w:tcPr>
            <w:tcW w:type="dxa" w:w="73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Apply knowledge within value-aligned systems to produce health outcomes for individuals and populations. Without this function, knowledge and economic models remain theoretical. Care delivery is the ultimate purpose — the reason the other two functions exist.</w:t>
            </w:r>
          </w:p>
        </w:tc>
      </w:tr>
    </w:tbl>
    <w:p>
      <w:pPr>
        <w:spacing w:after="0" w:before="200"/>
      </w:pPr>
      <w:r>
        <w:t xml:space="preserve"/>
      </w:r>
    </w:p>
    <w:p>
      <w:pPr>
        <w:spacing w:after="140" w:before="60"/>
      </w:pPr>
      <w:r>
        <w:rPr>
          <w:color w:val="1A1A1A"/>
          <w:sz w:val="22"/>
          <w:szCs w:val="22"/>
        </w:rPr>
        <w:t xml:space="preserve">The architecture of Theeb Group is organized precisely around these three functions. The three Pillars — Knowledge, Value, and Delivery — are not business units created for organizational convenience. They are the institutional embodiment of these three fundamental requirements for healthcare system excellence.</w:t>
      </w:r>
    </w:p>
    <w:p>
      <w:pPr>
        <w:pStyle w:val="Heading2"/>
      </w:pPr>
      <w:r>
        <w:t xml:space="preserve">I.3  The Integration Imperative</w:t>
      </w:r>
    </w:p>
    <w:p>
      <w:pPr>
        <w:spacing w:after="140" w:before="60"/>
      </w:pPr>
      <w:r>
        <w:rPr>
          <w:color w:val="1A1A1A"/>
          <w:sz w:val="22"/>
          <w:szCs w:val="22"/>
        </w:rPr>
        <w:t xml:space="preserve">Most healthcare organizations specialize in one of these functions. Academic medical centers generate knowledge but struggle to deliver care at scale. Health insurers create economic structures but rarely generate knowledge or directly deliver care. Hospital groups deliver care but depend on external knowledge and financial models.</w:t>
      </w:r>
    </w:p>
    <w:p>
      <w:pPr>
        <w:spacing w:after="140" w:before="60"/>
      </w:pPr>
      <w:r>
        <w:rPr>
          <w:color w:val="1A1A1A"/>
          <w:sz w:val="22"/>
          <w:szCs w:val="22"/>
        </w:rPr>
        <w:t xml:space="preserve">This specialization creates a structural inefficiency: knowledge generated in isolation does not reach the point of care. Economic models designed without clinical input create perverse incentives. Care delivered without economic sustainability collapses.</w:t>
      </w:r>
    </w:p>
    <w:p>
      <w:pPr>
        <w:spacing w:after="140" w:before="60"/>
      </w:pPr>
      <w:r>
        <w:rPr>
          <w:color w:val="1A1A1A"/>
          <w:sz w:val="22"/>
          <w:szCs w:val="22"/>
        </w:rPr>
        <w:t xml:space="preserve">Theeb Group's architecture is built on the premise that vertical integration across all three functions — done correctly, with appropriate internal governance for each — produces an organization that is not merely the sum of its parts, but something qualitatively different: a self-improving system.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2E4A"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BF2FA" w:val="clear"/>
            <w:tcMar>
              <w:top w:type="dxa" w:w="160"/>
              <w:left w:type="dxa" w:w="220"/>
              <w:bottom w:type="dxa" w:w="160"/>
              <w:right w:type="dxa" w:w="220"/>
            </w:tcMar>
          </w:tcPr>
          <w:p>
            <w:pPr>
              <w:spacing w:after="0" w:before="0"/>
            </w:pPr>
            <w:r>
              <w:rPr>
                <w:i/>
                <w:iCs/>
                <w:color w:val="1A2E4A"/>
                <w:sz w:val="22"/>
                <w:szCs w:val="22"/>
              </w:rPr>
              <w:t xml:space="preserve">A healthcare system that generates its own knowledge, designs its own economic models, and delivers its own care — with formal integration between all three — possesses a structural advantage that no specialist organization can replicate.</w:t>
            </w:r>
          </w:p>
        </w:tc>
      </w:tr>
    </w:tbl>
    <w:p>
      <w:pPr>
        <w:spacing w:after="0" w:before="160"/>
      </w:pPr>
      <w:r>
        <w:t xml:space="preserve"/>
      </w:r>
    </w:p>
    <w:p>
      <w:pPr>
        <w:pStyle w:val="Heading2"/>
      </w:pPr>
      <w:r>
        <w:t xml:space="preserve">I.4  Sovereignty as a Strategic Principle</w:t>
      </w:r>
    </w:p>
    <w:p>
      <w:pPr>
        <w:spacing w:after="140" w:before="60"/>
      </w:pPr>
      <w:r>
        <w:rPr>
          <w:color w:val="1A1A1A"/>
          <w:sz w:val="22"/>
          <w:szCs w:val="22"/>
        </w:rPr>
        <w:t xml:space="preserve">Saudi Arabia's healthcare system, despite decades of significant investment, remains largely dependent on external sources for clinical knowledge, pharmaceutical evidence, and management expertise. This dependence is not sustainable — not strategically, not economically, and not in terms of the quality of care that can ultimately be delivered to Saudi patients.</w:t>
      </w:r>
    </w:p>
    <w:p>
      <w:pPr>
        <w:spacing w:after="140" w:before="60"/>
      </w:pPr>
      <w:r>
        <w:rPr>
          <w:color w:val="1A1A1A"/>
          <w:sz w:val="22"/>
          <w:szCs w:val="22"/>
        </w:rPr>
        <w:t xml:space="preserve">'Sovereignty' in this context does not mean isolation. It means the capacity to generate, validate, and act on knowledge derived from Saudi patients, Saudi disease patterns, Saudi pharmacology, and Saudi healthcare economics — while remaining fully integrated with the global scientific community.</w:t>
      </w:r>
    </w:p>
    <w:p>
      <w:pPr>
        <w:spacing w:after="140" w:before="60"/>
      </w:pPr>
      <w:r>
        <w:rPr>
          <w:color w:val="1A1A1A"/>
          <w:sz w:val="22"/>
          <w:szCs w:val="22"/>
        </w:rPr>
        <w:t xml:space="preserve">Every company in the Theeb Group ecosystem contributes to this sovereignty mission. Together, they build an infrastructure uniquely calibrated to the needs of the Arab world, while meeting international standards of quality, rigor, and transparency.</w:t>
      </w:r>
    </w:p>
    <w:p>
      <w:pPr>
        <w:pStyle w:val="Heading2"/>
      </w:pPr>
      <w:r>
        <w:t xml:space="preserve">I.5  The Compounding Value Principle</w:t>
      </w:r>
    </w:p>
    <w:p>
      <w:pPr>
        <w:spacing w:after="140" w:before="60"/>
      </w:pPr>
      <w:r>
        <w:rPr>
          <w:color w:val="1A1A1A"/>
          <w:sz w:val="22"/>
          <w:szCs w:val="22"/>
        </w:rPr>
        <w:t xml:space="preserve">Individual clinical knowledge depreciates quickly. A study published in 2020 may be superseded by 2025. But knowledge infrastructure — the systems, standards, relationships, and accumulated data through which knowledge is generated and distributed — compounds over time.</w:t>
      </w:r>
    </w:p>
    <w:p>
      <w:pPr>
        <w:spacing w:after="140" w:before="60"/>
      </w:pPr>
      <w:r>
        <w:rPr>
          <w:color w:val="1A1A1A"/>
          <w:sz w:val="22"/>
          <w:szCs w:val="22"/>
        </w:rPr>
        <w:t xml:space="preserve">Theeb Group is designed to build infrastructure, not just products. The knowledge graph grows with every publication. The physician network grows with every trained practitioner. The research capacity grows with every completed trial. The value models improve with every data point. And critically: each piece of infrastructure makes all the others more valuable. This compounding logic is why Theeb Group thinks in decades, not quarters.</w:t>
      </w:r>
    </w:p>
    <w:p>
      <w:pPr>
        <w:spacing w:after="0" w:before="2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40"/>
              <w:left w:type="dxa" w:w="360"/>
              <w:bottom w:type="dxa" w:w="40"/>
              <w:right w:type="dxa" w:w="360"/>
            </w:tcMar>
          </w:tcPr>
          <w:p>
            <w:pPr>
              <w:spacing w:after="60" w:before="0"/>
            </w:pPr>
            <w:r>
              <w:rPr>
                <w:b/>
                <w:bCs/>
                <w:caps/>
                <w:color w:val="2E75B6"/>
                <w:sz w:val="18"/>
                <w:szCs w:val="18"/>
              </w:rPr>
              <w:t xml:space="preserve">SECTION II</w:t>
            </w:r>
          </w:p>
          <w:p>
            <w:pPr>
              <w:spacing w:after="80" w:before="0"/>
            </w:pPr>
            <w:r>
              <w:rPr>
                <w:b/>
                <w:bCs/>
                <w:color w:val="FFFFFF"/>
                <w:sz w:val="38"/>
                <w:szCs w:val="38"/>
              </w:rPr>
              <w:t xml:space="preserve">Long-Term Vision</w:t>
            </w:r>
          </w:p>
          <w:p>
            <w:pPr>
              <w:spacing w:after="180" w:before="0"/>
            </w:pPr>
            <w:r>
              <w:rPr>
                <w:i/>
                <w:iCs/>
                <w:color w:val="BDD7EE"/>
                <w:sz w:val="20"/>
                <w:szCs w:val="20"/>
              </w:rPr>
              <w:t xml:space="preserve">A three-decade arc toward institutional permanence</w:t>
            </w:r>
          </w:p>
        </w:tc>
      </w:tr>
    </w:tbl>
    <w:p>
      <w:pPr>
        <w:spacing w:after="0" w:before="280"/>
      </w:pPr>
      <w:r>
        <w:t xml:space="preserve"/>
      </w:r>
    </w:p>
    <w:p>
      <w:pPr>
        <w:pStyle w:val="Heading2"/>
      </w:pPr>
      <w:r>
        <w:t xml:space="preserve">II.1  The North Star</w:t>
      </w:r>
    </w:p>
    <w:p>
      <w:pPr>
        <w:spacing w:after="140" w:before="60"/>
      </w:pPr>
      <w:r>
        <w:rPr>
          <w:color w:val="1A1A1A"/>
          <w:sz w:val="22"/>
          <w:szCs w:val="22"/>
        </w:rPr>
        <w:t xml:space="preserve">By 2055, Theeb Group is the institutional backbone of healthcare intelligence in the Arab world — a permanently operating system that generates clinical knowledge, designs economic value models, and delivers care through integrated platforms, serving over 100 million people across the MENA region.</w:t>
      </w:r>
    </w:p>
    <w:p>
      <w:pPr>
        <w:spacing w:after="140" w:before="60"/>
      </w:pPr>
      <w:r>
        <w:rPr>
          <w:color w:val="1A1A1A"/>
          <w:sz w:val="22"/>
          <w:szCs w:val="22"/>
        </w:rPr>
        <w:t xml:space="preserve">It is recognized internationally as the Arab world's equivalent of the Cochrane Collaboration, the Mayo Clinic, and integrated delivery networks — but adapted to, and built for, the Arab world. The 30-year vision is structured in three distinct decades, each with its own strategic objective and institutional milestone.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Decade</w:t>
            </w:r>
          </w:p>
        </w:tc>
        <w:tc>
          <w:tcPr>
            <w:tcW w:type="dxa" w:w="340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Strategic Objective</w:t>
            </w:r>
          </w:p>
        </w:tc>
        <w:tc>
          <w:tcPr>
            <w:tcW w:type="dxa" w:w="396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Institutional Milestone</w:t>
            </w:r>
          </w:p>
        </w:tc>
      </w:tr>
      <w:tr>
        <w:tc>
          <w:tcPr>
            <w:tcW w:type="dxa" w:w="20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DECADE I  2025–2035  Build the Foundation</w:t>
            </w:r>
          </w:p>
        </w:tc>
        <w:tc>
          <w:tcPr>
            <w:tcW w:type="dxa" w:w="34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Establish all three Pillars as operationally profitable and technically integrated. Achieve infrastructure status in Saudi Arabia.</w:t>
            </w:r>
          </w:p>
        </w:tc>
        <w:tc>
          <w:tcPr>
            <w:tcW w:type="dxa" w:w="39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First Saudi clinical guidelines from locally-generated evidence. FASL adopted as national clinical intelligence standard. Tadawul IPO completed.</w:t>
            </w:r>
          </w:p>
        </w:tc>
      </w:tr>
      <w:tr>
        <w:tc>
          <w:tcPr>
            <w:tcW w:type="dxa" w:w="20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DECADE II  2035–2045  Become the Standard</w:t>
            </w:r>
          </w:p>
        </w:tc>
        <w:tc>
          <w:tcPr>
            <w:tcW w:type="dxa" w:w="34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Expand across GCC and MENA. Become the authoritative reference for Arabic clinical knowledge. Embed systems into national health architectures.</w:t>
            </w:r>
          </w:p>
        </w:tc>
        <w:tc>
          <w:tcPr>
            <w:tcW w:type="dxa" w:w="39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Government partnerships in 5+ countries. Arabic clinical evidence cited internationally. Revenue: $500M–$1B.</w:t>
            </w:r>
          </w:p>
        </w:tc>
      </w:tr>
      <w:tr>
        <w:tc>
          <w:tcPr>
            <w:tcW w:type="dxa" w:w="20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DECADE III  2045–2055  Shape the Future</w:t>
            </w:r>
          </w:p>
        </w:tc>
        <w:tc>
          <w:tcPr>
            <w:tcW w:type="dxa" w:w="34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License Theeb Group's knowledge infrastructure to underserved global populations. Become a global institution of medicine.</w:t>
            </w:r>
          </w:p>
        </w:tc>
        <w:tc>
          <w:tcPr>
            <w:tcW w:type="dxa" w:w="39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Evidence corpus recognized as global reference standard. 100M+ patients served. Revenue: $1B+ at 60%+ margins.</w:t>
            </w:r>
          </w:p>
        </w:tc>
      </w:tr>
    </w:tbl>
    <w:p>
      <w:pPr>
        <w:spacing w:after="0" w:before="280"/>
      </w:pPr>
      <w:r>
        <w:t xml:space="preserve"/>
      </w:r>
    </w:p>
    <w:p>
      <w:pPr>
        <w:pStyle w:val="Heading2"/>
      </w:pPr>
      <w:r>
        <w:t xml:space="preserve">II.2  Decade I — Build the Foundation (2025–2035)</w:t>
      </w:r>
    </w:p>
    <w:p>
      <w:pPr>
        <w:spacing w:after="140" w:before="60"/>
      </w:pPr>
      <w:r>
        <w:rPr>
          <w:color w:val="1A1A1A"/>
          <w:sz w:val="22"/>
          <w:szCs w:val="22"/>
        </w:rPr>
        <w:t xml:space="preserve">The first decade is foundational. Its purpose is not to achieve scale — it is to build the infrastructure that makes scale possible and defensible. The key priorities are:</w:t>
      </w:r>
    </w:p>
    <w:p>
      <w:pPr>
        <w:pStyle w:val="ListParagraph"/>
        <w:numPr>
          <w:ilvl w:val="0"/>
          <w:numId w:val="2"/>
        </w:numPr>
        <w:spacing w:after="50" w:before="50"/>
      </w:pPr>
      <w:r>
        <w:rPr>
          <w:color w:val="1A1A1A"/>
          <w:sz w:val="22"/>
          <w:szCs w:val="22"/>
        </w:rPr>
        <w:t xml:space="preserve">Establish all three Pillars as independently profitable entities with clear mandates and governance</w:t>
      </w:r>
    </w:p>
    <w:p>
      <w:pPr>
        <w:pStyle w:val="ListParagraph"/>
        <w:numPr>
          <w:ilvl w:val="0"/>
          <w:numId w:val="2"/>
        </w:numPr>
        <w:spacing w:after="50" w:before="50"/>
      </w:pPr>
      <w:r>
        <w:rPr>
          <w:color w:val="1A1A1A"/>
          <w:sz w:val="22"/>
          <w:szCs w:val="22"/>
        </w:rPr>
        <w:t xml:space="preserve">Build FASL into the clinical knowledge operating system for Saudi Arabia</w:t>
      </w:r>
    </w:p>
    <w:p>
      <w:pPr>
        <w:pStyle w:val="ListParagraph"/>
        <w:numPr>
          <w:ilvl w:val="0"/>
          <w:numId w:val="2"/>
        </w:numPr>
        <w:spacing w:after="50" w:before="50"/>
      </w:pPr>
      <w:r>
        <w:rPr>
          <w:color w:val="1A1A1A"/>
          <w:sz w:val="22"/>
          <w:szCs w:val="22"/>
        </w:rPr>
        <w:t xml:space="preserve">Generate the first corpus of Saudi-specific clinical evidence through the Knowledge Group</w:t>
      </w:r>
    </w:p>
    <w:p>
      <w:pPr>
        <w:pStyle w:val="ListParagraph"/>
        <w:numPr>
          <w:ilvl w:val="0"/>
          <w:numId w:val="2"/>
        </w:numPr>
        <w:spacing w:after="50" w:before="50"/>
      </w:pPr>
      <w:r>
        <w:rPr>
          <w:color w:val="1A1A1A"/>
          <w:sz w:val="22"/>
          <w:szCs w:val="22"/>
        </w:rPr>
        <w:t xml:space="preserve">Create the MGA-driven value architecture that aligns clinical and economic incentives</w:t>
      </w:r>
    </w:p>
    <w:p>
      <w:pPr>
        <w:pStyle w:val="ListParagraph"/>
        <w:numPr>
          <w:ilvl w:val="0"/>
          <w:numId w:val="2"/>
        </w:numPr>
        <w:spacing w:after="50" w:before="50"/>
      </w:pPr>
      <w:r>
        <w:rPr>
          <w:color w:val="1A1A1A"/>
          <w:sz w:val="22"/>
          <w:szCs w:val="22"/>
        </w:rPr>
        <w:t xml:space="preserve">Build the physician network as the distribution layer for knowledge and the foundation of care delivery</w:t>
      </w:r>
    </w:p>
    <w:p>
      <w:pPr>
        <w:pStyle w:val="ListParagraph"/>
        <w:numPr>
          <w:ilvl w:val="0"/>
          <w:numId w:val="2"/>
        </w:numPr>
        <w:spacing w:after="50" w:before="50"/>
      </w:pPr>
      <w:r>
        <w:rPr>
          <w:color w:val="1A1A1A"/>
          <w:sz w:val="22"/>
          <w:szCs w:val="22"/>
        </w:rPr>
        <w:t xml:space="preserve">Achieve Tadawul IPO while retaining founder majority control and 100% ownership of all IP-heavy assets</w:t>
      </w:r>
    </w:p>
    <w:p>
      <w:pPr>
        <w:spacing w:after="0" w:before="100"/>
      </w:pPr>
      <w:r>
        <w:t xml:space="preserve"/>
      </w:r>
    </w:p>
    <w:p>
      <w:pPr>
        <w:spacing w:after="140" w:before="60"/>
      </w:pPr>
      <w:r>
        <w:rPr>
          <w:color w:val="1A1A1A"/>
          <w:sz w:val="22"/>
          <w:szCs w:val="22"/>
        </w:rPr>
        <w:t xml:space="preserve">By 2035, the Knowledge Flywheel must be turning self-sufficiently: knowledge generated by the Knowledge Group must be improving the value models in the Value Group, the value models must be improving the economics of care delivery, and care delivery data must be flowing back into the knowledge generation pipeline.</w:t>
      </w:r>
    </w:p>
    <w:p>
      <w:pPr>
        <w:pStyle w:val="Heading2"/>
      </w:pPr>
      <w:r>
        <w:t xml:space="preserve">II.3  Decade II — Become the Standard (2035–2045)</w:t>
      </w:r>
    </w:p>
    <w:p>
      <w:pPr>
        <w:spacing w:after="140" w:before="60"/>
      </w:pPr>
      <w:r>
        <w:rPr>
          <w:color w:val="1A1A1A"/>
          <w:sz w:val="22"/>
          <w:szCs w:val="22"/>
        </w:rPr>
        <w:t xml:space="preserve">The second decade is about establishing Theeb Group as the reference architecture for Arab-world healthcare. This means GCC expansion (UAE, Kuwait, Qatar, Bahrain, Oman), MENA expansion into Egypt, Jordan, and North African markets, and the Arabic clinical knowledge platform becoming the dominant system for physician decision support across the Arab world.</w:t>
      </w:r>
    </w:p>
    <w:p>
      <w:pPr>
        <w:spacing w:after="140" w:before="60"/>
      </w:pPr>
      <w:r>
        <w:rPr>
          <w:color w:val="1A1A1A"/>
          <w:sz w:val="22"/>
          <w:szCs w:val="22"/>
        </w:rPr>
        <w:t xml:space="preserve">At this stage, Theeb Group is not a company — it is a system. Its value is not in any single entity but in the structural relationships between entities, the accumulated knowledge in its graph, and the trust it has built with regulatory bodies, clinical communities, and patient populations.</w:t>
      </w:r>
    </w:p>
    <w:p>
      <w:pPr>
        <w:pStyle w:val="Heading2"/>
      </w:pPr>
      <w:r>
        <w:t xml:space="preserve">II.4  Decade III — Shape the Future (2045–2055)</w:t>
      </w:r>
    </w:p>
    <w:p>
      <w:pPr>
        <w:spacing w:after="140" w:before="60"/>
      </w:pPr>
      <w:r>
        <w:rPr>
          <w:color w:val="1A1A1A"/>
          <w:sz w:val="22"/>
          <w:szCs w:val="22"/>
        </w:rPr>
        <w:t xml:space="preserve">The third decade is about legacy and global reach. The knowledge infrastructure built for Saudi Arabia creates a transferable model — not by imposing Arab evidence on other populations, but by licensing the infrastructure through which those populations can generate and use their own evidence. Sub-Saharan Africa, South and Southeast Asia, and Latin America face the same structural gap that Theeb Group was built to address in Saudi Arabia.</w:t>
      </w:r>
    </w:p>
    <w:p>
      <w:pPr>
        <w:spacing w:after="0" w:before="2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40"/>
              <w:left w:type="dxa" w:w="360"/>
              <w:bottom w:type="dxa" w:w="40"/>
              <w:right w:type="dxa" w:w="360"/>
            </w:tcMar>
          </w:tcPr>
          <w:p>
            <w:pPr>
              <w:spacing w:after="60" w:before="0"/>
            </w:pPr>
            <w:r>
              <w:rPr>
                <w:b/>
                <w:bCs/>
                <w:caps/>
                <w:color w:val="2E75B6"/>
                <w:sz w:val="18"/>
                <w:szCs w:val="18"/>
              </w:rPr>
              <w:t xml:space="preserve">SECTION III</w:t>
            </w:r>
          </w:p>
          <w:p>
            <w:pPr>
              <w:spacing w:after="80" w:before="0"/>
            </w:pPr>
            <w:r>
              <w:rPr>
                <w:b/>
                <w:bCs/>
                <w:color w:val="FFFFFF"/>
                <w:sz w:val="38"/>
                <w:szCs w:val="38"/>
              </w:rPr>
              <w:t xml:space="preserve">Structural Design of the Three Pillars</w:t>
            </w:r>
          </w:p>
          <w:p>
            <w:pPr>
              <w:spacing w:after="180" w:before="0"/>
            </w:pPr>
            <w:r>
              <w:rPr>
                <w:i/>
                <w:iCs/>
                <w:color w:val="BDD7EE"/>
                <w:sz w:val="20"/>
                <w:szCs w:val="20"/>
              </w:rPr>
              <w:t xml:space="preserve">The architecture of Knowledge, Value, and Delivery</w:t>
            </w:r>
          </w:p>
        </w:tc>
      </w:tr>
    </w:tbl>
    <w:p>
      <w:pPr>
        <w:spacing w:after="0" w:before="280"/>
      </w:pPr>
      <w:r>
        <w:t xml:space="preserve"/>
      </w:r>
    </w:p>
    <w:p>
      <w:pPr>
        <w:pStyle w:val="Heading2"/>
      </w:pPr>
      <w:r>
        <w:t xml:space="preserve">III.1  The Three-Pillar Architecture</w:t>
      </w:r>
    </w:p>
    <w:p>
      <w:pPr>
        <w:spacing w:after="140" w:before="60"/>
      </w:pPr>
      <w:r>
        <w:rPr>
          <w:color w:val="1A1A1A"/>
          <w:sz w:val="22"/>
          <w:szCs w:val="22"/>
        </w:rPr>
        <w:t xml:space="preserve">Theeb Group is organized around three permanent structural Pillars, each representing one of the three fundamental healthcare functions described in Section I. The three Pillars are not holding company subsidiaries — they are institutional layers, each with a distinct identity, mandate, and governance model, formally integrated through the Group's flywheel architecture.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2E4A" w:val="clear"/>
            <w:tcMar>
              <w:top w:type="dxa" w:w="220"/>
              <w:left w:type="dxa" w:w="200"/>
              <w:bottom w:type="dxa" w:w="220"/>
              <w:right w:type="dxa" w:w="100"/>
            </w:tcMar>
          </w:tcPr>
          <w:p>
            <w:pPr>
              <w:spacing w:after="80" w:before="0"/>
            </w:pPr>
            <w:r>
              <w:rPr>
                <w:b/>
                <w:bCs/>
                <w:color w:val="2E75B6"/>
                <w:sz w:val="18"/>
                <w:szCs w:val="18"/>
              </w:rPr>
              <w:t xml:space="preserve">PILLAR I</w:t>
            </w:r>
          </w:p>
          <w:p>
            <w:pPr>
              <w:spacing w:after="0" w:before="0"/>
            </w:pPr>
            <w:r>
              <w:rPr>
                <w:b/>
                <w:bCs/>
                <w:color w:val="FFFFFF"/>
                <w:sz w:val="28"/>
                <w:szCs w:val="28"/>
              </w:rPr>
              <w:t xml:space="preserve">THEEB KNOWLEDGE</w:t>
            </w:r>
          </w:p>
          <w:p>
            <w:pPr>
              <w:spacing w:after="100" w:before="0"/>
            </w:pPr>
            <w:r>
              <w:rPr>
                <w:b/>
                <w:bCs/>
                <w:color w:val="FFFFFF"/>
                <w:sz w:val="28"/>
                <w:szCs w:val="28"/>
              </w:rPr>
              <w:t xml:space="preserve">GROUP</w:t>
            </w:r>
          </w:p>
          <w:p>
            <w:pPr>
              <w:spacing w:after="0" w:before="0"/>
            </w:pPr>
            <w:r>
              <w:rPr>
                <w:i/>
                <w:iCs/>
                <w:color w:val="BDD7EE"/>
                <w:sz w:val="18"/>
                <w:szCs w:val="18"/>
              </w:rPr>
              <w:t xml:space="preserve">The knowledge engine — generates, validates, and distributes the clinical evidence that powers the entire ecosystem.</w:t>
            </w:r>
          </w:p>
        </w:tc>
        <w:tc>
          <w:tcPr>
            <w:tcW w:type="dxa" w:w="3120"/>
            <w:tcBorders>
              <w:top w:val="none" w:color="FFFFFF" w:sz="0"/>
              <w:left w:val="none" w:color="FFFFFF" w:sz="0"/>
              <w:bottom w:val="none" w:color="FFFFFF" w:sz="0"/>
              <w:right w:val="none" w:color="FFFFFF" w:sz="0"/>
            </w:tcBorders>
            <w:shd w:fill="2E75B6" w:val="clear"/>
            <w:tcMar>
              <w:top w:type="dxa" w:w="220"/>
              <w:left w:type="dxa" w:w="200"/>
              <w:bottom w:type="dxa" w:w="220"/>
              <w:right w:type="dxa" w:w="200"/>
            </w:tcMar>
          </w:tcPr>
          <w:p>
            <w:pPr>
              <w:spacing w:after="80" w:before="0"/>
            </w:pPr>
            <w:r>
              <w:rPr>
                <w:b/>
                <w:bCs/>
                <w:color w:val="EBF2FA"/>
                <w:sz w:val="18"/>
                <w:szCs w:val="18"/>
              </w:rPr>
              <w:t xml:space="preserve">PILLAR II</w:t>
            </w:r>
          </w:p>
          <w:p>
            <w:pPr>
              <w:spacing w:after="0" w:before="0"/>
            </w:pPr>
            <w:r>
              <w:rPr>
                <w:b/>
                <w:bCs/>
                <w:color w:val="FFFFFF"/>
                <w:sz w:val="28"/>
                <w:szCs w:val="28"/>
              </w:rPr>
              <w:t xml:space="preserve">THEEB VALUE</w:t>
            </w:r>
          </w:p>
          <w:p>
            <w:pPr>
              <w:spacing w:after="100" w:before="0"/>
            </w:pPr>
            <w:r>
              <w:rPr>
                <w:b/>
                <w:bCs/>
                <w:color w:val="FFFFFF"/>
                <w:sz w:val="28"/>
                <w:szCs w:val="28"/>
              </w:rPr>
              <w:t xml:space="preserve">GROUP</w:t>
            </w:r>
          </w:p>
          <w:p>
            <w:pPr>
              <w:spacing w:after="0" w:before="0"/>
            </w:pPr>
            <w:r>
              <w:rPr>
                <w:i/>
                <w:iCs/>
                <w:color w:val="EBF2FA"/>
                <w:sz w:val="18"/>
                <w:szCs w:val="18"/>
              </w:rPr>
              <w:t xml:space="preserve">The value engine — transforms clinical activity into economically sustainable outcomes through advanced payment models.</w:t>
            </w:r>
          </w:p>
        </w:tc>
        <w:tc>
          <w:tcPr>
            <w:tcW w:type="dxa" w:w="3120"/>
            <w:tcBorders>
              <w:top w:val="none" w:color="FFFFFF" w:sz="0"/>
              <w:left w:val="none" w:color="FFFFFF" w:sz="0"/>
              <w:bottom w:val="none" w:color="FFFFFF" w:sz="0"/>
              <w:right w:val="none" w:color="FFFFFF" w:sz="0"/>
            </w:tcBorders>
            <w:shd w:fill="3D6B99" w:val="clear"/>
            <w:tcMar>
              <w:top w:type="dxa" w:w="220"/>
              <w:left w:type="dxa" w:w="100"/>
              <w:bottom w:type="dxa" w:w="220"/>
              <w:right w:type="dxa" w:w="200"/>
            </w:tcMar>
          </w:tcPr>
          <w:p>
            <w:pPr>
              <w:spacing w:after="80" w:before="0"/>
            </w:pPr>
            <w:r>
              <w:rPr>
                <w:b/>
                <w:bCs/>
                <w:color w:val="D9E8F5"/>
                <w:sz w:val="18"/>
                <w:szCs w:val="18"/>
              </w:rPr>
              <w:t xml:space="preserve">PILLAR III</w:t>
            </w:r>
          </w:p>
          <w:p>
            <w:pPr>
              <w:spacing w:after="0" w:before="0"/>
            </w:pPr>
            <w:r>
              <w:rPr>
                <w:b/>
                <w:bCs/>
                <w:color w:val="FFFFFF"/>
                <w:sz w:val="26"/>
                <w:szCs w:val="26"/>
              </w:rPr>
              <w:t xml:space="preserve">THEEB HEALTHCARE</w:t>
            </w:r>
          </w:p>
          <w:p>
            <w:pPr>
              <w:spacing w:after="100" w:before="0"/>
            </w:pPr>
            <w:r>
              <w:rPr>
                <w:b/>
                <w:bCs/>
                <w:color w:val="FFFFFF"/>
                <w:sz w:val="26"/>
                <w:szCs w:val="26"/>
              </w:rPr>
              <w:t xml:space="preserve">DELIVERY GROUP</w:t>
            </w:r>
          </w:p>
          <w:p>
            <w:pPr>
              <w:spacing w:after="0" w:before="0"/>
            </w:pPr>
            <w:r>
              <w:rPr>
                <w:i/>
                <w:iCs/>
                <w:color w:val="D9E8F5"/>
                <w:sz w:val="18"/>
                <w:szCs w:val="18"/>
              </w:rPr>
              <w:t xml:space="preserve">The delivery engine — applies knowledge through value-aligned systems to produce health outcomes at scale.</w:t>
            </w:r>
          </w:p>
        </w:tc>
      </w:tr>
    </w:tbl>
    <w:p>
      <w:pPr>
        <w:spacing w:after="0" w:before="280"/>
      </w:pPr>
      <w:r>
        <w:t xml:space="preserve"/>
      </w:r>
    </w:p>
    <w:p>
      <w:pPr>
        <w:pStyle w:val="Heading2"/>
      </w:pPr>
      <w:r>
        <w:t xml:space="preserve">III.2  PILLAR I — THEEB KNOWLEDGE GROUP</w:t>
      </w:r>
    </w:p>
    <w:p>
      <w:pPr>
        <w:spacing w:after="80" w:before="220"/>
      </w:pPr>
      <w:r>
        <w:rPr>
          <w:b/>
          <w:bCs/>
          <w:color w:val="1A2E4A"/>
          <w:sz w:val="24"/>
          <w:szCs w:val="24"/>
        </w:rPr>
        <w:t xml:space="preserve">Mission</w:t>
      </w:r>
    </w:p>
    <w:p>
      <w:pPr>
        <w:spacing w:after="140" w:before="60"/>
      </w:pPr>
      <w:r>
        <w:rPr>
          <w:color w:val="1A1A1A"/>
          <w:sz w:val="22"/>
          <w:szCs w:val="22"/>
        </w:rPr>
        <w:t xml:space="preserve">To make Saudi Arabia and the Arab world a sovereign producer of clinical knowledge — generating, validating, organizing, and distributing the medical evidence that clinical practice, economic models, and care delivery require.</w:t>
      </w:r>
    </w:p>
    <w:p>
      <w:pPr>
        <w:spacing w:after="80" w:before="220"/>
      </w:pPr>
      <w:r>
        <w:rPr>
          <w:b/>
          <w:bCs/>
          <w:color w:val="1A2E4A"/>
          <w:sz w:val="24"/>
          <w:szCs w:val="24"/>
        </w:rPr>
        <w:t xml:space="preserve">Design Principle</w:t>
      </w:r>
    </w:p>
    <w:p>
      <w:pPr>
        <w:spacing w:after="140" w:before="60"/>
      </w:pPr>
      <w:r>
        <w:rPr>
          <w:color w:val="1A1A1A"/>
          <w:sz w:val="22"/>
          <w:szCs w:val="22"/>
        </w:rPr>
        <w:t xml:space="preserve">The Knowledge Group operates as neutral knowledge infrastructure. It does not control clinical practice or determine treatment standards. It builds the systems through which evidence flows — ensuring that Saudi-generated research meets international standards, is accessible to practitioners, and compounds over time into an irreplaceable knowledge asset.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1A2E4A" w:val="clear"/>
            <w:tcMar>
              <w:top w:type="dxa" w:w="100"/>
              <w:left w:type="dxa" w:w="180"/>
              <w:bottom w:type="dxa" w:w="100"/>
              <w:right w:type="dxa" w:w="180"/>
            </w:tcMar>
          </w:tcPr>
          <w:p>
            <w:r>
              <w:rPr>
                <w:b/>
                <w:bCs/>
                <w:color w:val="FFFFFF"/>
                <w:sz w:val="20"/>
                <w:szCs w:val="20"/>
              </w:rPr>
              <w:t xml:space="preserve">Core Entities of the Knowledge Group</w:t>
            </w:r>
          </w:p>
        </w:tc>
      </w:tr>
      <w:tr>
        <w:tc>
          <w:tcPr>
            <w:tcW w:type="dxa" w:w="2200"/>
            <w:tcBorders>
              <w:top w:val="single" w:color="D0D9E3" w:sz="1"/>
              <w:left w:val="single" w:color="D0D9E3" w:sz="1"/>
              <w:bottom w:val="single" w:color="D0D9E3" w:sz="1"/>
              <w:right w:val="single" w:color="D0D9E3" w:sz="1"/>
            </w:tcBorders>
            <w:shd w:fill="EEF4FB" w:val="clear"/>
            <w:tcMar>
              <w:top w:type="dxa" w:w="120"/>
              <w:left w:type="dxa" w:w="160"/>
              <w:bottom w:type="dxa" w:w="120"/>
              <w:right w:type="dxa" w:w="160"/>
            </w:tcMar>
          </w:tcPr>
          <w:p>
            <w:pPr>
              <w:spacing w:after="60" w:before="0"/>
            </w:pPr>
            <w:r>
              <w:rPr>
                <w:b/>
                <w:bCs/>
                <w:color w:val="1A2E4A"/>
                <w:sz w:val="20"/>
                <w:szCs w:val="20"/>
              </w:rPr>
              <w:t xml:space="preserve">Scientific Publishing</w:t>
            </w:r>
          </w:p>
          <w:p>
            <w:pPr>
              <w:spacing w:after="0" w:before="0"/>
            </w:pPr>
            <w:r>
              <w:rPr>
                <w:i/>
                <w:iCs/>
                <w:color w:val="2E75B6"/>
                <w:sz w:val="17"/>
                <w:szCs w:val="17"/>
              </w:rPr>
              <w:t xml:space="preserve">Waraqa</w:t>
            </w:r>
          </w:p>
        </w:tc>
        <w:tc>
          <w:tcPr>
            <w:tcW w:type="dxa" w:w="716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color w:val="1A1A1A"/>
                <w:sz w:val="20"/>
                <w:szCs w:val="20"/>
              </w:rPr>
              <w:t xml:space="preserve">The publishing and evidence dissemination platform. Manages peer-reviewed journals, enables systematic reviews, produces clinical guidelines, and provides manuscript services. Serves as the quality control layer — transforming raw data into validated, citable evidence. Neutral infrastructure: it does not determine which research is important; it ensures that research meets international standards and reaches practitioners who need it.</w:t>
            </w:r>
          </w:p>
        </w:tc>
      </w:tr>
      <w:tr>
        <w:tc>
          <w:tcPr>
            <w:tcW w:type="dxa" w:w="2200"/>
            <w:tcBorders>
              <w:top w:val="single" w:color="D0D9E3" w:sz="1"/>
              <w:left w:val="single" w:color="D0D9E3" w:sz="1"/>
              <w:bottom w:val="single" w:color="D0D9E3" w:sz="1"/>
              <w:right w:val="single" w:color="D0D9E3" w:sz="1"/>
            </w:tcBorders>
            <w:shd w:fill="EBF2FA" w:val="clear"/>
            <w:tcMar>
              <w:top w:type="dxa" w:w="120"/>
              <w:left w:type="dxa" w:w="160"/>
              <w:bottom w:type="dxa" w:w="120"/>
              <w:right w:type="dxa" w:w="160"/>
            </w:tcMar>
          </w:tcPr>
          <w:p>
            <w:pPr>
              <w:spacing w:after="60" w:before="0"/>
            </w:pPr>
            <w:r>
              <w:rPr>
                <w:b/>
                <w:bCs/>
                <w:color w:val="1A2E4A"/>
                <w:sz w:val="20"/>
                <w:szCs w:val="20"/>
              </w:rPr>
              <w:t xml:space="preserve">Clinical Evidence Platform</w:t>
            </w:r>
          </w:p>
          <w:p>
            <w:pPr>
              <w:spacing w:after="0" w:before="0"/>
            </w:pPr>
            <w:r>
              <w:rPr>
                <w:i/>
                <w:iCs/>
                <w:color w:val="2E75B6"/>
                <w:sz w:val="17"/>
                <w:szCs w:val="17"/>
              </w:rPr>
              <w:t xml:space="preserve">FASL</w:t>
            </w:r>
          </w:p>
        </w:tc>
        <w:tc>
          <w:tcPr>
            <w:tcW w:type="dxa" w:w="716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color w:val="1A1A1A"/>
                <w:sz w:val="20"/>
                <w:szCs w:val="20"/>
              </w:rPr>
              <w:t xml:space="preserve">The clinical knowledge operating system for Saudi and Arab-world physicians. Aggregates global and local evidence into a sovereign knowledge graph, provides AI-powered clinical decision support in Arabic, delivers the CHI Medical Necessity Criteria as an interactive decision engine, and generates a personalized learning passport for each practitioner. FASL is the central hub of the ecosystem — the platform through which knowledge reaches the point of care.</w:t>
            </w:r>
          </w:p>
        </w:tc>
      </w:tr>
      <w:tr>
        <w:tc>
          <w:tcPr>
            <w:tcW w:type="dxa" w:w="2200"/>
            <w:tcBorders>
              <w:top w:val="single" w:color="D0D9E3" w:sz="1"/>
              <w:left w:val="single" w:color="D0D9E3" w:sz="1"/>
              <w:bottom w:val="single" w:color="D0D9E3" w:sz="1"/>
              <w:right w:val="single" w:color="D0D9E3" w:sz="1"/>
            </w:tcBorders>
            <w:shd w:fill="EEF4FB" w:val="clear"/>
            <w:tcMar>
              <w:top w:type="dxa" w:w="120"/>
              <w:left w:type="dxa" w:w="160"/>
              <w:bottom w:type="dxa" w:w="120"/>
              <w:right w:type="dxa" w:w="160"/>
            </w:tcMar>
          </w:tcPr>
          <w:p>
            <w:pPr>
              <w:spacing w:after="60" w:before="0"/>
            </w:pPr>
            <w:r>
              <w:rPr>
                <w:b/>
                <w:bCs/>
                <w:color w:val="1A2E4A"/>
                <w:sz w:val="20"/>
                <w:szCs w:val="20"/>
              </w:rPr>
              <w:t xml:space="preserve">Scientific Academy</w:t>
            </w:r>
          </w:p>
          <w:p>
            <w:pPr>
              <w:spacing w:after="0" w:before="0"/>
            </w:pPr>
            <w:r>
              <w:rPr>
                <w:i/>
                <w:iCs/>
                <w:color w:val="2E75B6"/>
                <w:sz w:val="17"/>
                <w:szCs w:val="17"/>
              </w:rPr>
              <w:t xml:space="preserve">NAMA Knowledge</w:t>
            </w:r>
          </w:p>
        </w:tc>
        <w:tc>
          <w:tcPr>
            <w:tcW w:type="dxa" w:w="716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color w:val="1A1A1A"/>
                <w:sz w:val="20"/>
                <w:szCs w:val="20"/>
              </w:rPr>
              <w:t xml:space="preserve">An adaptive education system built around real clinical practice. Trains physicians in clinical research, GCP compliance, and evidence-based medicine. Provides SCFHS-accredited CME programs, life support certifications (BLS, ACLS, ATLS), and simulation training. The human distribution layer of the knowledge cycle — ensuring every trained practitioner is equipped with the latest evidence, enrolled on FASL, and connected to the research pipeline.</w:t>
            </w:r>
          </w:p>
        </w:tc>
      </w:tr>
      <w:tr>
        <w:tc>
          <w:tcPr>
            <w:tcW w:type="dxa" w:w="2200"/>
            <w:tcBorders>
              <w:top w:val="single" w:color="D0D9E3" w:sz="1"/>
              <w:left w:val="single" w:color="D0D9E3" w:sz="1"/>
              <w:bottom w:val="single" w:color="D0D9E3" w:sz="1"/>
              <w:right w:val="single" w:color="D0D9E3" w:sz="1"/>
            </w:tcBorders>
            <w:shd w:fill="EBF2FA" w:val="clear"/>
            <w:tcMar>
              <w:top w:type="dxa" w:w="120"/>
              <w:left w:type="dxa" w:w="160"/>
              <w:bottom w:type="dxa" w:w="120"/>
              <w:right w:type="dxa" w:w="160"/>
            </w:tcMar>
          </w:tcPr>
          <w:p>
            <w:pPr>
              <w:spacing w:after="60" w:before="0"/>
            </w:pPr>
            <w:r>
              <w:rPr>
                <w:b/>
                <w:bCs/>
                <w:color w:val="1A2E4A"/>
                <w:sz w:val="20"/>
                <w:szCs w:val="20"/>
              </w:rPr>
              <w:t xml:space="preserve">Contract Research Organization</w:t>
            </w:r>
          </w:p>
          <w:p>
            <w:pPr>
              <w:spacing w:after="0" w:before="0"/>
            </w:pPr>
            <w:r>
              <w:rPr>
                <w:i/>
                <w:iCs/>
                <w:color w:val="2E75B6"/>
                <w:sz w:val="17"/>
                <w:szCs w:val="17"/>
              </w:rPr>
              <w:t xml:space="preserve">NAMA Medical</w:t>
            </w:r>
          </w:p>
        </w:tc>
        <w:tc>
          <w:tcPr>
            <w:tcW w:type="dxa" w:w="716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color w:val="1A1A1A"/>
                <w:sz w:val="20"/>
                <w:szCs w:val="20"/>
              </w:rPr>
              <w:t xml:space="preserve">The clinical research execution engine. SFDA-accredited CRO conducting Phase I–IV trials, observational studies, real-world evidence generation, and site management. Every trial converts Saudi clinical activity into structured, replicable, internationally-standard evidence. The primary data generator for FASL's knowledge graph. Funded through strategic equity from Alfaisaliah Group — the only TRG entity taking external equity.</w:t>
            </w:r>
          </w:p>
        </w:tc>
      </w:tr>
      <w:tr>
        <w:tc>
          <w:tcPr>
            <w:tcW w:type="dxa" w:w="2200"/>
            <w:tcBorders>
              <w:top w:val="single" w:color="D0D9E3" w:sz="1"/>
              <w:left w:val="single" w:color="D0D9E3" w:sz="1"/>
              <w:bottom w:val="single" w:color="D0D9E3" w:sz="1"/>
              <w:right w:val="single" w:color="D0D9E3" w:sz="1"/>
            </w:tcBorders>
            <w:shd w:fill="EEF4FB" w:val="clear"/>
            <w:tcMar>
              <w:top w:type="dxa" w:w="120"/>
              <w:left w:type="dxa" w:w="160"/>
              <w:bottom w:type="dxa" w:w="120"/>
              <w:right w:type="dxa" w:w="160"/>
            </w:tcMar>
          </w:tcPr>
          <w:p>
            <w:pPr>
              <w:spacing w:after="60" w:before="0"/>
            </w:pPr>
            <w:r>
              <w:rPr>
                <w:b/>
                <w:bCs/>
                <w:color w:val="1A2E4A"/>
                <w:sz w:val="20"/>
                <w:szCs w:val="20"/>
              </w:rPr>
              <w:t xml:space="preserve">Bioequivalence Research</w:t>
            </w:r>
          </w:p>
          <w:p>
            <w:pPr>
              <w:spacing w:after="0" w:before="0"/>
            </w:pPr>
            <w:r>
              <w:rPr>
                <w:i/>
                <w:iCs/>
                <w:color w:val="2E75B6"/>
                <w:sz w:val="17"/>
                <w:szCs w:val="17"/>
              </w:rPr>
              <w:t xml:space="preserve">NAMA Bio</w:t>
            </w:r>
          </w:p>
        </w:tc>
        <w:tc>
          <w:tcPr>
            <w:tcW w:type="dxa" w:w="716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color w:val="1A1A1A"/>
                <w:sz w:val="20"/>
                <w:szCs w:val="20"/>
              </w:rPr>
              <w:t xml:space="preserve">The drug localization engine. SFDA-accredited bioequivalence center generating Saudi-specific pharmacokinetic data — the only organization conducting studies that determine how drugs actually behave in Saudi patients. Asset-light model operating through partnerships (CARE Medical clinical ward; KSU bioanalytical services). Funded entirely through government grants with zero external equity required.</w:t>
            </w:r>
          </w:p>
        </w:tc>
      </w:tr>
    </w:tbl>
    <w:p>
      <w:pPr>
        <w:spacing w:after="0" w:before="280"/>
      </w:pPr>
      <w:r>
        <w:t xml:space="preserve"/>
      </w:r>
    </w:p>
    <w:p>
      <w:pPr>
        <w:pStyle w:val="Heading2"/>
      </w:pPr>
      <w:r>
        <w:t xml:space="preserve">III.3  PILLAR II — THEEB VALUE GROUP</w:t>
      </w:r>
    </w:p>
    <w:p>
      <w:pPr>
        <w:spacing w:after="80" w:before="220"/>
      </w:pPr>
      <w:r>
        <w:rPr>
          <w:b/>
          <w:bCs/>
          <w:color w:val="1A2E4A"/>
          <w:sz w:val="24"/>
          <w:szCs w:val="24"/>
        </w:rPr>
        <w:t xml:space="preserve">Mission</w:t>
      </w:r>
    </w:p>
    <w:p>
      <w:pPr>
        <w:spacing w:after="140" w:before="60"/>
      </w:pPr>
      <w:r>
        <w:rPr>
          <w:color w:val="1A1A1A"/>
          <w:sz w:val="22"/>
          <w:szCs w:val="22"/>
        </w:rPr>
        <w:t xml:space="preserve">To build the economic infrastructure that makes high-quality, knowledge-driven healthcare financially sustainable — transforming clinical activity into measured, transparent, and rationally priced outcomes through advanced revenue management, clinical documentation systems, and innovative insurance architecture.</w:t>
      </w:r>
    </w:p>
    <w:p>
      <w:pPr>
        <w:spacing w:after="80" w:before="220"/>
      </w:pPr>
      <w:r>
        <w:rPr>
          <w:b/>
          <w:bCs/>
          <w:color w:val="1A2E4A"/>
          <w:sz w:val="24"/>
          <w:szCs w:val="24"/>
        </w:rPr>
        <w:t xml:space="preserve">Design Principle</w:t>
      </w:r>
    </w:p>
    <w:p>
      <w:pPr>
        <w:spacing w:after="140" w:before="60"/>
      </w:pPr>
      <w:r>
        <w:rPr>
          <w:color w:val="1A1A1A"/>
          <w:sz w:val="22"/>
          <w:szCs w:val="22"/>
        </w:rPr>
        <w:t xml:space="preserve">The Value Group occupies the strategic position that most healthcare organizations underestimate: it is the bridge between clinical excellence and institutional durability. A healthcare system that cannot measure, price, and sustain the value of its clinical work cannot exist at scale. The Value Group builds the mechanisms that make clinical value economically legible.</w:t>
      </w:r>
    </w:p>
    <w:p>
      <w:pPr>
        <w:spacing w:after="140" w:before="60"/>
      </w:pPr>
      <w:r>
        <w:rPr>
          <w:color w:val="1A1A1A"/>
          <w:sz w:val="22"/>
          <w:szCs w:val="22"/>
        </w:rPr>
        <w:t xml:space="preserve">The MGA (Managing General Agent) model is the most ambitious component of the Value Group — a structure that enables Theeb Group to move beyond fee-for-service into risk-sharing, bundled payment, and disease management contracts. This positions the organization not as a vendor to the healthcare system but as a value-aligned partner within it.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1A2E4A" w:val="clear"/>
            <w:tcMar>
              <w:top w:type="dxa" w:w="100"/>
              <w:left w:type="dxa" w:w="180"/>
              <w:bottom w:type="dxa" w:w="100"/>
              <w:right w:type="dxa" w:w="180"/>
            </w:tcMar>
          </w:tcPr>
          <w:p>
            <w:r>
              <w:rPr>
                <w:b/>
                <w:bCs/>
                <w:color w:val="FFFFFF"/>
                <w:sz w:val="20"/>
                <w:szCs w:val="20"/>
              </w:rPr>
              <w:t xml:space="preserve">Core Entities and Functions of the Value Group</w:t>
            </w:r>
          </w:p>
        </w:tc>
      </w:tr>
      <w:tr>
        <w:tc>
          <w:tcPr>
            <w:tcW w:type="dxa" w:w="2200"/>
            <w:tcBorders>
              <w:top w:val="single" w:color="D0D9E3" w:sz="1"/>
              <w:left w:val="single" w:color="D0D9E3" w:sz="1"/>
              <w:bottom w:val="single" w:color="D0D9E3" w:sz="1"/>
              <w:right w:val="single" w:color="D0D9E3" w:sz="1"/>
            </w:tcBorders>
            <w:shd w:fill="EEF4FB" w:val="clear"/>
            <w:tcMar>
              <w:top w:type="dxa" w:w="120"/>
              <w:left w:type="dxa" w:w="160"/>
              <w:bottom w:type="dxa" w:w="120"/>
              <w:right w:type="dxa" w:w="160"/>
            </w:tcMar>
          </w:tcPr>
          <w:p>
            <w:pPr>
              <w:spacing w:after="60" w:before="0"/>
            </w:pPr>
            <w:r>
              <w:rPr>
                <w:b/>
                <w:bCs/>
                <w:color w:val="1A2E4A"/>
                <w:sz w:val="20"/>
                <w:szCs w:val="20"/>
              </w:rPr>
              <w:t xml:space="preserve">Revenue Cycle Management</w:t>
            </w:r>
          </w:p>
          <w:p>
            <w:pPr>
              <w:spacing w:after="0" w:before="0"/>
            </w:pPr>
            <w:r>
              <w:rPr>
                <w:i/>
                <w:iCs/>
                <w:color w:val="2E75B6"/>
                <w:sz w:val="17"/>
                <w:szCs w:val="17"/>
              </w:rPr>
              <w:t xml:space="preserve">RCM Infrastructure</w:t>
            </w:r>
          </w:p>
        </w:tc>
        <w:tc>
          <w:tcPr>
            <w:tcW w:type="dxa" w:w="716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color w:val="1A1A1A"/>
                <w:sz w:val="20"/>
                <w:szCs w:val="20"/>
              </w:rPr>
              <w:t xml:space="preserve">End-to-end revenue cycle infrastructure for healthcare providers: coding, billing, claims management, and financial analytics. The RCM function generates the real-world economic data — claims patterns, denial rates, coding accuracy — that informs the MGA's risk modeling and value-based contract design.</w:t>
            </w:r>
          </w:p>
        </w:tc>
      </w:tr>
      <w:tr>
        <w:tc>
          <w:tcPr>
            <w:tcW w:type="dxa" w:w="2200"/>
            <w:tcBorders>
              <w:top w:val="single" w:color="D0D9E3" w:sz="1"/>
              <w:left w:val="single" w:color="D0D9E3" w:sz="1"/>
              <w:bottom w:val="single" w:color="D0D9E3" w:sz="1"/>
              <w:right w:val="single" w:color="D0D9E3" w:sz="1"/>
            </w:tcBorders>
            <w:shd w:fill="EBF2FA" w:val="clear"/>
            <w:tcMar>
              <w:top w:type="dxa" w:w="120"/>
              <w:left w:type="dxa" w:w="160"/>
              <w:bottom w:type="dxa" w:w="120"/>
              <w:right w:type="dxa" w:w="160"/>
            </w:tcMar>
          </w:tcPr>
          <w:p>
            <w:pPr>
              <w:spacing w:after="60" w:before="0"/>
            </w:pPr>
            <w:r>
              <w:rPr>
                <w:b/>
                <w:bCs/>
                <w:color w:val="1A2E4A"/>
                <w:sz w:val="20"/>
                <w:szCs w:val="20"/>
              </w:rPr>
              <w:t xml:space="preserve">Clinical Documentation Systems</w:t>
            </w:r>
          </w:p>
          <w:p>
            <w:pPr>
              <w:spacing w:after="0" w:before="0"/>
            </w:pPr>
            <w:r>
              <w:rPr>
                <w:i/>
                <w:iCs/>
                <w:color w:val="2E75B6"/>
                <w:sz w:val="17"/>
                <w:szCs w:val="17"/>
              </w:rPr>
              <w:t xml:space="preserve">Structured Documentation</w:t>
            </w:r>
          </w:p>
        </w:tc>
        <w:tc>
          <w:tcPr>
            <w:tcW w:type="dxa" w:w="716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color w:val="1A1A1A"/>
                <w:sz w:val="20"/>
                <w:szCs w:val="20"/>
              </w:rPr>
              <w:t xml:space="preserve">Infrastructure that captures the clinical narrative in formats simultaneously useful for patient care, regulatory compliance, insurance justification, and research data extraction. The bridge between the clinical world and the economic world.</w:t>
            </w:r>
          </w:p>
        </w:tc>
      </w:tr>
      <w:tr>
        <w:tc>
          <w:tcPr>
            <w:tcW w:type="dxa" w:w="2200"/>
            <w:tcBorders>
              <w:top w:val="single" w:color="D0D9E3" w:sz="1"/>
              <w:left w:val="single" w:color="D0D9E3" w:sz="1"/>
              <w:bottom w:val="single" w:color="D0D9E3" w:sz="1"/>
              <w:right w:val="single" w:color="D0D9E3" w:sz="1"/>
            </w:tcBorders>
            <w:shd w:fill="EEF4FB" w:val="clear"/>
            <w:tcMar>
              <w:top w:type="dxa" w:w="120"/>
              <w:left w:type="dxa" w:w="160"/>
              <w:bottom w:type="dxa" w:w="120"/>
              <w:right w:type="dxa" w:w="160"/>
            </w:tcMar>
          </w:tcPr>
          <w:p>
            <w:pPr>
              <w:spacing w:after="60" w:before="0"/>
            </w:pPr>
            <w:r>
              <w:rPr>
                <w:b/>
                <w:bCs/>
                <w:color w:val="1A2E4A"/>
                <w:sz w:val="20"/>
                <w:szCs w:val="20"/>
              </w:rPr>
              <w:t xml:space="preserve">Managing General Agent</w:t>
            </w:r>
          </w:p>
          <w:p>
            <w:pPr>
              <w:spacing w:after="0" w:before="0"/>
            </w:pPr>
            <w:r>
              <w:rPr>
                <w:i/>
                <w:iCs/>
                <w:color w:val="2E75B6"/>
                <w:sz w:val="17"/>
                <w:szCs w:val="17"/>
              </w:rPr>
              <w:t xml:space="preserve">MGA — Insurance Architecture</w:t>
            </w:r>
          </w:p>
        </w:tc>
        <w:tc>
          <w:tcPr>
            <w:tcW w:type="dxa" w:w="716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color w:val="1A1A1A"/>
                <w:sz w:val="20"/>
                <w:szCs w:val="20"/>
              </w:rPr>
              <w:t xml:space="preserve">The most transformative component. An MGA occupies the space between insurers and providers — structuring risk, designing innovative payment models, and enabling contracts otherwise impossible. The Theeb MGA enables: value-based contracts, bundled payment programs, disease management contracts, risk-sharing arrangements, and structured healthcare packages. Powered by the Knowledge Group's evidence base and the Delivery Group's clinical data.</w:t>
            </w:r>
          </w:p>
        </w:tc>
      </w:tr>
      <w:tr>
        <w:tc>
          <w:tcPr>
            <w:tcW w:type="dxa" w:w="2200"/>
            <w:tcBorders>
              <w:top w:val="single" w:color="D0D9E3" w:sz="1"/>
              <w:left w:val="single" w:color="D0D9E3" w:sz="1"/>
              <w:bottom w:val="single" w:color="D0D9E3" w:sz="1"/>
              <w:right w:val="single" w:color="D0D9E3" w:sz="1"/>
            </w:tcBorders>
            <w:shd w:fill="EBF2FA" w:val="clear"/>
            <w:tcMar>
              <w:top w:type="dxa" w:w="120"/>
              <w:left w:type="dxa" w:w="160"/>
              <w:bottom w:type="dxa" w:w="120"/>
              <w:right w:type="dxa" w:w="160"/>
            </w:tcMar>
          </w:tcPr>
          <w:p>
            <w:pPr>
              <w:spacing w:after="60" w:before="0"/>
            </w:pPr>
            <w:r>
              <w:rPr>
                <w:b/>
                <w:bCs/>
                <w:color w:val="1A2E4A"/>
                <w:sz w:val="20"/>
                <w:szCs w:val="20"/>
              </w:rPr>
              <w:t xml:space="preserve">Financial Transparency Platform</w:t>
            </w:r>
          </w:p>
          <w:p>
            <w:pPr>
              <w:spacing w:after="0" w:before="0"/>
            </w:pPr>
            <w:r>
              <w:rPr>
                <w:i/>
                <w:iCs/>
                <w:color w:val="2E75B6"/>
                <w:sz w:val="17"/>
                <w:szCs w:val="17"/>
              </w:rPr>
              <w:t xml:space="preserve">Analytics &amp; Reporting</w:t>
            </w:r>
          </w:p>
        </w:tc>
        <w:tc>
          <w:tcPr>
            <w:tcW w:type="dxa" w:w="716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color w:val="1A1A1A"/>
                <w:sz w:val="20"/>
                <w:szCs w:val="20"/>
              </w:rPr>
              <w:t xml:space="preserve">Real-time visibility into provider financial performance, coding accuracy, payer mix, and outcome economics. Enables providers to understand the relationship between clinical decisions and financial outcomes — a prerequisite for value-based contracting.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2E4A"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BF2FA" w:val="clear"/>
            <w:tcMar>
              <w:top w:type="dxa" w:w="160"/>
              <w:left w:type="dxa" w:w="220"/>
              <w:bottom w:type="dxa" w:w="160"/>
              <w:right w:type="dxa" w:w="220"/>
            </w:tcMar>
          </w:tcPr>
          <w:p>
            <w:pPr>
              <w:spacing w:after="0" w:before="0"/>
            </w:pPr>
            <w:r>
              <w:rPr>
                <w:i/>
                <w:iCs/>
                <w:color w:val="1A2E4A"/>
                <w:sz w:val="22"/>
                <w:szCs w:val="22"/>
              </w:rPr>
              <w:t xml:space="preserve">The MGA model is not merely an insurance product. It is a mechanism for aligning clinical, financial, and population health objectives within a single contractual framework — the most sophisticated form of value-based care currently practiced globally.</w:t>
            </w:r>
          </w:p>
        </w:tc>
      </w:tr>
    </w:tbl>
    <w:p>
      <w:pPr>
        <w:spacing w:after="0" w:before="220"/>
      </w:pPr>
      <w:r>
        <w:t xml:space="preserve"/>
      </w:r>
    </w:p>
    <w:p>
      <w:pPr>
        <w:pStyle w:val="Heading2"/>
      </w:pPr>
      <w:r>
        <w:t xml:space="preserve">III.4  PILLAR III — THEEB HEALTHCARE DELIVERY GROUP</w:t>
      </w:r>
    </w:p>
    <w:p>
      <w:pPr>
        <w:spacing w:after="80" w:before="220"/>
      </w:pPr>
      <w:r>
        <w:rPr>
          <w:b/>
          <w:bCs/>
          <w:color w:val="1A2E4A"/>
          <w:sz w:val="24"/>
          <w:szCs w:val="24"/>
        </w:rPr>
        <w:t xml:space="preserve">Mission</w:t>
      </w:r>
    </w:p>
    <w:p>
      <w:pPr>
        <w:spacing w:after="140" w:before="60"/>
      </w:pPr>
      <w:r>
        <w:rPr>
          <w:color w:val="1A1A1A"/>
          <w:sz w:val="22"/>
          <w:szCs w:val="22"/>
        </w:rPr>
        <w:t xml:space="preserve">To deliver healthcare through technology-enabled, value-aligned, physician-driven care models calibrated to the specific needs of Saudi and Arab-world patient populations — and that generate the clinical data and outcomes evidence that feeds back into the Knowledge and Value cycles.</w:t>
      </w:r>
    </w:p>
    <w:p>
      <w:pPr>
        <w:spacing w:after="80" w:before="220"/>
      </w:pPr>
      <w:r>
        <w:rPr>
          <w:b/>
          <w:bCs/>
          <w:color w:val="1A2E4A"/>
          <w:sz w:val="24"/>
          <w:szCs w:val="24"/>
        </w:rPr>
        <w:t xml:space="preserve">Architecture — Three Operational Tracks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Track</w:t>
            </w:r>
          </w:p>
        </w:tc>
        <w:tc>
          <w:tcPr>
            <w:tcW w:type="dxa" w:w="220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Name</w:t>
            </w:r>
          </w:p>
        </w:tc>
        <w:tc>
          <w:tcPr>
            <w:tcW w:type="dxa" w:w="556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Function</w:t>
            </w:r>
          </w:p>
        </w:tc>
      </w:tr>
      <w:tr>
        <w:tc>
          <w:tcPr>
            <w:tcW w:type="dxa" w:w="16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Track 1</w:t>
            </w:r>
          </w:p>
        </w:tc>
        <w:tc>
          <w:tcPr>
            <w:tcW w:type="dxa" w:w="22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Health Technology Infrastructure</w:t>
            </w:r>
          </w:p>
        </w:tc>
        <w:tc>
          <w:tcPr>
            <w:tcW w:type="dxa" w:w="55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The digital nervous system of care delivery. Health Information Systems, clinical operating platforms, patient portals, and digital infrastructure inside hospitals and clinics. Without this layer, care delivery cannot generate the structured data that flows into the knowledge and value cycles.</w:t>
            </w:r>
          </w:p>
        </w:tc>
      </w:tr>
      <w:tr>
        <w:tc>
          <w:tcPr>
            <w:tcW w:type="dxa" w:w="16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Track 2</w:t>
            </w:r>
          </w:p>
        </w:tc>
        <w:tc>
          <w:tcPr>
            <w:tcW w:type="dxa" w:w="22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Management Services Organization (MSO)</w:t>
            </w:r>
          </w:p>
        </w:tc>
        <w:tc>
          <w:tcPr>
            <w:tcW w:type="dxa" w:w="55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The operational backbone. Provides operational systems, staffing models, clinic management, and physician collaboration frameworks. Enables physicians to focus on care delivery while a professional management layer handles operational complexity. Also serves as the integration layer between the Delivery and Value Groups.</w:t>
            </w:r>
          </w:p>
        </w:tc>
      </w:tr>
      <w:tr>
        <w:tc>
          <w:tcPr>
            <w:tcW w:type="dxa" w:w="16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Track 3</w:t>
            </w:r>
          </w:p>
        </w:tc>
        <w:tc>
          <w:tcPr>
            <w:tcW w:type="dxa" w:w="22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Clinics &amp; Programs Platform</w:t>
            </w:r>
          </w:p>
        </w:tc>
        <w:tc>
          <w:tcPr>
            <w:tcW w:type="dxa" w:w="55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The care delivery layer. A portfolio of care models designed to meet patients where they are: Urgent Care, Home Care, Virtual Clinics, Disease Management Programs, Mental Health Programs, Pregnancy Coaching, and physician Co-Clinic models. Each model is calibrated to a specific patient population and care context.</w:t>
            </w:r>
          </w:p>
        </w:tc>
      </w:tr>
    </w:tbl>
    <w:p>
      <w:pPr>
        <w:spacing w:after="0" w:before="200"/>
      </w:pPr>
      <w:r>
        <w:t xml:space="preserve"/>
      </w:r>
    </w:p>
    <w:p>
      <w:pPr>
        <w:spacing w:after="80" w:before="220"/>
      </w:pPr>
      <w:r>
        <w:rPr>
          <w:b/>
          <w:bCs/>
          <w:color w:val="1A2E4A"/>
          <w:sz w:val="24"/>
          <w:szCs w:val="24"/>
        </w:rPr>
        <w:t xml:space="preserve">The Clinics and Programs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Care Model</w:t>
            </w:r>
          </w:p>
        </w:tc>
        <w:tc>
          <w:tcPr>
            <w:tcW w:type="dxa" w:w="676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Design Purpose</w:t>
            </w:r>
          </w:p>
        </w:tc>
      </w:tr>
      <w:tr>
        <w:tc>
          <w:tcPr>
            <w:tcW w:type="dxa" w:w="26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Urgent Care Centers</w:t>
            </w:r>
          </w:p>
        </w:tc>
        <w:tc>
          <w:tcPr>
            <w:tcW w:type="dxa" w:w="67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High-acuity episodic care. Reduces emergency department burden; provides rapid, quality-controlled care for acute but non-life-threatening conditions.</w:t>
            </w:r>
          </w:p>
        </w:tc>
      </w:tr>
      <w:tr>
        <w:tc>
          <w:tcPr>
            <w:tcW w:type="dxa" w:w="26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Home Care Services</w:t>
            </w:r>
          </w:p>
        </w:tc>
        <w:tc>
          <w:tcPr>
            <w:tcW w:type="dxa" w:w="67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Population-appropriate care for patients who benefit from care in their own environment: elderly, post-surgical recovery, chronic disease management.</w:t>
            </w:r>
          </w:p>
        </w:tc>
      </w:tr>
      <w:tr>
        <w:tc>
          <w:tcPr>
            <w:tcW w:type="dxa" w:w="26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Virtual Clinics</w:t>
            </w:r>
          </w:p>
        </w:tc>
        <w:tc>
          <w:tcPr>
            <w:tcW w:type="dxa" w:w="67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Technology-mediated care for conditions amenable to remote management. Expands geographic reach without proportional capital investment.</w:t>
            </w:r>
          </w:p>
        </w:tc>
      </w:tr>
      <w:tr>
        <w:tc>
          <w:tcPr>
            <w:tcW w:type="dxa" w:w="26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Disease Management Programs</w:t>
            </w:r>
          </w:p>
        </w:tc>
        <w:tc>
          <w:tcPr>
            <w:tcW w:type="dxa" w:w="67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Longitudinal, evidence-based programs for high-prevalence conditions (T2DM, hypertension, obesity). Designed to be funded through MGA-structured value-based contracts.</w:t>
            </w:r>
          </w:p>
        </w:tc>
      </w:tr>
      <w:tr>
        <w:tc>
          <w:tcPr>
            <w:tcW w:type="dxa" w:w="26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Pregnancy Coaching Programs</w:t>
            </w:r>
          </w:p>
        </w:tc>
        <w:tc>
          <w:tcPr>
            <w:tcW w:type="dxa" w:w="67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Structured longitudinal support for maternal health — a population-specific need with high impact on both maternal and pediatric outcomes.</w:t>
            </w:r>
          </w:p>
        </w:tc>
      </w:tr>
      <w:tr>
        <w:tc>
          <w:tcPr>
            <w:tcW w:type="dxa" w:w="26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Mental Health Programs</w:t>
            </w:r>
          </w:p>
        </w:tc>
        <w:tc>
          <w:tcPr>
            <w:tcW w:type="dxa" w:w="67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Culturally-adapted mental health services addressing a historically underserved population health need in the Saudi context.</w:t>
            </w:r>
          </w:p>
        </w:tc>
      </w:tr>
      <w:tr>
        <w:tc>
          <w:tcPr>
            <w:tcW w:type="dxa" w:w="26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Co-Clinic Models</w:t>
            </w:r>
          </w:p>
        </w:tc>
        <w:tc>
          <w:tcPr>
            <w:tcW w:type="dxa" w:w="67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Physician-partnered specialty clinics: Child Mental Health, Symptom Clinics, Injection Clinics, Specialty Collaborations. Enables physician ownership and entrepreneurship within the ecosystem's operational and clinical framework.</w:t>
            </w:r>
          </w:p>
        </w:tc>
      </w:tr>
    </w:tbl>
    <w:p>
      <w:pPr>
        <w:spacing w:after="0" w:before="200"/>
      </w:pPr>
      <w:r>
        <w:t xml:space="preserve"/>
      </w:r>
    </w:p>
    <w:p>
      <w:pPr>
        <w:spacing w:after="80" w:before="220"/>
      </w:pPr>
      <w:r>
        <w:rPr>
          <w:b/>
          <w:bCs/>
          <w:color w:val="1A2E4A"/>
          <w:sz w:val="24"/>
          <w:szCs w:val="24"/>
        </w:rPr>
        <w:t xml:space="preserve">The Co-Clinic Philosophy</w:t>
      </w:r>
    </w:p>
    <w:p>
      <w:pPr>
        <w:spacing w:after="140" w:before="60"/>
      </w:pPr>
      <w:r>
        <w:rPr>
          <w:color w:val="1A1A1A"/>
          <w:sz w:val="22"/>
          <w:szCs w:val="22"/>
        </w:rPr>
        <w:t xml:space="preserve">The Co-Clinic model reflects a distinctive philosophical commitment: physician agency within a structured ecosystem. Rather than employing physicians as staff, the Co-Clinic model creates aligned economic interests. Physicians bring clinical expertise and patient relationships. Theeb Group provides the operational infrastructure, technology platform, value-based payment architecture, and knowledge support systems. Both parties share in the outcomes.</w:t>
      </w:r>
    </w:p>
    <w:p>
      <w:pPr>
        <w:spacing w:after="140" w:before="60"/>
      </w:pPr>
      <w:r>
        <w:rPr>
          <w:color w:val="1A1A1A"/>
          <w:sz w:val="22"/>
          <w:szCs w:val="22"/>
        </w:rPr>
        <w:t xml:space="preserve">This model is more durable than pure employment because it preserves the physician's professional identity and economic interest. It is more powerful than pure private practice because it gives the physician access to an infrastructure — clinical intelligence, population health management, research participation, CME — that no individual practice could build independently.</w:t>
      </w:r>
    </w:p>
    <w:p>
      <w:pPr>
        <w:spacing w:after="0" w:before="2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40"/>
              <w:left w:type="dxa" w:w="360"/>
              <w:bottom w:type="dxa" w:w="40"/>
              <w:right w:type="dxa" w:w="360"/>
            </w:tcMar>
          </w:tcPr>
          <w:p>
            <w:pPr>
              <w:spacing w:after="60" w:before="0"/>
            </w:pPr>
            <w:r>
              <w:rPr>
                <w:b/>
                <w:bCs/>
                <w:caps/>
                <w:color w:val="2E75B6"/>
                <w:sz w:val="18"/>
                <w:szCs w:val="18"/>
              </w:rPr>
              <w:t xml:space="preserve">SECTION IV</w:t>
            </w:r>
          </w:p>
          <w:p>
            <w:pPr>
              <w:spacing w:after="80" w:before="0"/>
            </w:pPr>
            <w:r>
              <w:rPr>
                <w:b/>
                <w:bCs/>
                <w:color w:val="FFFFFF"/>
                <w:sz w:val="38"/>
                <w:szCs w:val="38"/>
              </w:rPr>
              <w:t xml:space="preserve">How Knowledge, Value, and Delivery Interact</w:t>
            </w:r>
          </w:p>
          <w:p>
            <w:pPr>
              <w:spacing w:after="180" w:before="0"/>
            </w:pPr>
            <w:r>
              <w:rPr>
                <w:i/>
                <w:iCs/>
                <w:color w:val="BDD7EE"/>
                <w:sz w:val="20"/>
                <w:szCs w:val="20"/>
              </w:rPr>
              <w:t xml:space="preserve">The integration architecture that transforms three pillars into one system</w:t>
            </w:r>
          </w:p>
        </w:tc>
      </w:tr>
    </w:tbl>
    <w:p>
      <w:pPr>
        <w:spacing w:after="0" w:before="280"/>
      </w:pPr>
      <w:r>
        <w:t xml:space="preserve"/>
      </w:r>
    </w:p>
    <w:p>
      <w:pPr>
        <w:pStyle w:val="Heading2"/>
      </w:pPr>
      <w:r>
        <w:t xml:space="preserve">IV.1  The Integration Principle</w:t>
      </w:r>
    </w:p>
    <w:p>
      <w:pPr>
        <w:spacing w:after="140" w:before="60"/>
      </w:pPr>
      <w:r>
        <w:rPr>
          <w:color w:val="1A1A1A"/>
          <w:sz w:val="22"/>
          <w:szCs w:val="22"/>
        </w:rPr>
        <w:t xml:space="preserve">The three Pillars of Theeb Group are not parallel business units. They are sequential and mutually reinforcing stages in a continuous cycle. The value of each Pillar is amplified by its connections to the other two. The design of these connections — their governance, their data standards, their commercial terms — is as important as the design of the individual Pillars.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2E4A"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BF2FA" w:val="clear"/>
            <w:tcMar>
              <w:top w:type="dxa" w:w="160"/>
              <w:left w:type="dxa" w:w="220"/>
              <w:bottom w:type="dxa" w:w="160"/>
              <w:right w:type="dxa" w:w="220"/>
            </w:tcMar>
          </w:tcPr>
          <w:p>
            <w:pPr>
              <w:spacing w:after="0" w:before="0"/>
            </w:pPr>
            <w:r>
              <w:rPr>
                <w:i/>
                <w:iCs/>
                <w:color w:val="1A2E4A"/>
                <w:sz w:val="22"/>
                <w:szCs w:val="22"/>
              </w:rPr>
              <w:t xml:space="preserve">Three separate organizations, each excellent in its domain, produce linear value. Three integrated organizations, connected by formal data flows and aligned economic incentives, produce exponential value.</w:t>
            </w:r>
          </w:p>
        </w:tc>
      </w:tr>
    </w:tbl>
    <w:p>
      <w:pPr>
        <w:spacing w:after="0" w:before="180"/>
      </w:pPr>
      <w:r>
        <w:t xml:space="preserve"/>
      </w:r>
    </w:p>
    <w:p>
      <w:pPr>
        <w:pStyle w:val="Heading2"/>
      </w:pPr>
      <w:r>
        <w:t xml:space="preserve">IV.2  The Six Primary Integration Flows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Integration Flow</w:t>
            </w:r>
          </w:p>
        </w:tc>
        <w:tc>
          <w:tcPr>
            <w:tcW w:type="dxa" w:w="656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Description and Strategic Impact</w:t>
            </w:r>
          </w:p>
        </w:tc>
      </w:tr>
      <w:tr>
        <w:tc>
          <w:tcPr>
            <w:tcW w:type="dxa" w:w="28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KNOWLEDGE to DELIVERY</w:t>
            </w:r>
          </w:p>
        </w:tc>
        <w:tc>
          <w:tcPr>
            <w:tcW w:type="dxa" w:w="65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FASL delivers clinical decision support, updated guidelines, and personalized CME to every physician in the Delivery Group. Evidence generated by NAMA Medical and NAMA Bio reaches the point of care within weeks of publication — not years as in traditional knowledge dissemination. Clinical practice improves continuously as the knowledge base grows.</w:t>
            </w:r>
          </w:p>
        </w:tc>
      </w:tr>
      <w:tr>
        <w:tc>
          <w:tcPr>
            <w:tcW w:type="dxa" w:w="28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DELIVERY to KNOWLEDGE</w:t>
            </w:r>
          </w:p>
        </w:tc>
        <w:tc>
          <w:tcPr>
            <w:tcW w:type="dxa" w:w="65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Every clinical encounter in the Delivery Group, properly documented and consented, generates real-world evidence. Patient outcomes, treatment responses, adverse events, and population health patterns flow — de-identified and PDPL-compliant — into FASL's knowledge graph. Delivery Group data is the ecosystem's most abundant and immediate knowledge source.</w:t>
            </w:r>
          </w:p>
        </w:tc>
      </w:tr>
      <w:tr>
        <w:tc>
          <w:tcPr>
            <w:tcW w:type="dxa" w:w="28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KNOWLEDGE to VALUE</w:t>
            </w:r>
          </w:p>
        </w:tc>
        <w:tc>
          <w:tcPr>
            <w:tcW w:type="dxa" w:w="65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The Knowledge Group's evidence base informs every pricing and risk model in the Value Group. An MGA that prices disease management contracts based on Theeb Group's locally-generated outcomes data makes better actuarial decisions than one relying on international benchmark data. FASL's evidence hierarchy directly powers the MGA's risk stratification models.</w:t>
            </w:r>
          </w:p>
        </w:tc>
      </w:tr>
      <w:tr>
        <w:tc>
          <w:tcPr>
            <w:tcW w:type="dxa" w:w="28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VALUE to KNOWLEDGE</w:t>
            </w:r>
          </w:p>
        </w:tc>
        <w:tc>
          <w:tcPr>
            <w:tcW w:type="dxa" w:w="65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The Value Group's claims data, utilization patterns, and economic outcomes reveal where clinical interventions are over- or under-used, where costs are concentrated, and where outcomes are weakest. This economic intelligence generates research priorities for the Knowledge Group — specifically, high-value questions about cost-effectiveness, treatment economics, and population health management.</w:t>
            </w:r>
          </w:p>
        </w:tc>
      </w:tr>
      <w:tr>
        <w:tc>
          <w:tcPr>
            <w:tcW w:type="dxa" w:w="28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VALUE to DELIVERY</w:t>
            </w:r>
          </w:p>
        </w:tc>
        <w:tc>
          <w:tcPr>
            <w:tcW w:type="dxa" w:w="65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The MGA's value-based contracts create financial architecture that rewards quality outcomes rather than volume. Disease management contracts fund the Delivery Group's Disease Management Programs. Bundled payment models finance surgical pathways. Risk-sharing arrangements align physician incentives with population health goals. The Value Group makes it economically viable for the Delivery Group to deliver care the right way.</w:t>
            </w:r>
          </w:p>
        </w:tc>
      </w:tr>
      <w:tr>
        <w:tc>
          <w:tcPr>
            <w:tcW w:type="dxa" w:w="28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DELIVERY to VALUE</w:t>
            </w:r>
          </w:p>
        </w:tc>
        <w:tc>
          <w:tcPr>
            <w:tcW w:type="dxa" w:w="65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The Delivery Group's outcomes data — patient responses, readmission rates, medication adherence, chronic disease progression — is the most valuable input to the Value Group's actuarial models. An MGA that knows the actual outcomes of its own care network is in a fundamentally superior position to price risk compared to one relying on external population data.</w:t>
            </w:r>
          </w:p>
        </w:tc>
      </w:tr>
    </w:tbl>
    <w:p>
      <w:pPr>
        <w:spacing w:after="0" w:before="200"/>
      </w:pPr>
      <w:r>
        <w:t xml:space="preserve"/>
      </w:r>
    </w:p>
    <w:p>
      <w:pPr>
        <w:pStyle w:val="Heading2"/>
      </w:pPr>
      <w:r>
        <w:t xml:space="preserve">IV.3  The Integration Governance Requirement</w:t>
      </w:r>
    </w:p>
    <w:p>
      <w:pPr>
        <w:spacing w:after="140" w:before="60"/>
      </w:pPr>
      <w:r>
        <w:rPr>
          <w:color w:val="1A1A1A"/>
          <w:sz w:val="22"/>
          <w:szCs w:val="22"/>
        </w:rPr>
        <w:t xml:space="preserve">Integration does not happen by proximity. Effective integration between the Pillars requires:</w:t>
      </w:r>
    </w:p>
    <w:p>
      <w:pPr>
        <w:pStyle w:val="ListParagraph"/>
        <w:numPr>
          <w:ilvl w:val="0"/>
          <w:numId w:val="2"/>
        </w:numPr>
        <w:spacing w:after="50" w:before="50"/>
      </w:pPr>
      <w:r>
        <w:rPr>
          <w:color w:val="1A1A1A"/>
          <w:sz w:val="22"/>
          <w:szCs w:val="22"/>
        </w:rPr>
        <w:t xml:space="preserve">Formal data licensing agreements governing inter-company data flows at arm's length pricing</w:t>
      </w:r>
    </w:p>
    <w:p>
      <w:pPr>
        <w:pStyle w:val="ListParagraph"/>
        <w:numPr>
          <w:ilvl w:val="0"/>
          <w:numId w:val="2"/>
        </w:numPr>
        <w:spacing w:after="50" w:before="50"/>
      </w:pPr>
      <w:r>
        <w:rPr>
          <w:color w:val="1A1A1A"/>
          <w:sz w:val="22"/>
          <w:szCs w:val="22"/>
        </w:rPr>
        <w:t xml:space="preserve">Standardized data formats (FHIR R4, OMOP CDM, CDISC) that ensure data generated in one Pillar is immediately usable by the others</w:t>
      </w:r>
    </w:p>
    <w:p>
      <w:pPr>
        <w:pStyle w:val="ListParagraph"/>
        <w:numPr>
          <w:ilvl w:val="0"/>
          <w:numId w:val="2"/>
        </w:numPr>
        <w:spacing w:after="50" w:before="50"/>
      </w:pPr>
      <w:r>
        <w:rPr>
          <w:color w:val="1A1A1A"/>
          <w:sz w:val="22"/>
          <w:szCs w:val="22"/>
        </w:rPr>
        <w:t xml:space="preserve">Privacy and security infrastructure ensuring all patient data is de-identified before inter-company transfer, compliant with PDPL</w:t>
      </w:r>
    </w:p>
    <w:p>
      <w:pPr>
        <w:pStyle w:val="ListParagraph"/>
        <w:numPr>
          <w:ilvl w:val="0"/>
          <w:numId w:val="2"/>
        </w:numPr>
        <w:spacing w:after="50" w:before="50"/>
      </w:pPr>
      <w:r>
        <w:rPr>
          <w:color w:val="1A1A1A"/>
          <w:sz w:val="22"/>
          <w:szCs w:val="22"/>
        </w:rPr>
        <w:t xml:space="preserve">Commercial alignment ensuring that inter-company services are priced at rates that would be agreed between independent parties</w:t>
      </w:r>
    </w:p>
    <w:p>
      <w:pPr>
        <w:pStyle w:val="ListParagraph"/>
        <w:numPr>
          <w:ilvl w:val="0"/>
          <w:numId w:val="2"/>
        </w:numPr>
        <w:spacing w:after="50" w:before="50"/>
      </w:pPr>
      <w:r>
        <w:rPr>
          <w:color w:val="1A1A1A"/>
          <w:sz w:val="22"/>
          <w:szCs w:val="22"/>
        </w:rPr>
        <w:t xml:space="preserve">Governance mechanisms that preserve each entity's independence and credibility while enabling the information flows the ecosystem requires</w:t>
      </w:r>
    </w:p>
    <w:p>
      <w:pPr>
        <w:spacing w:after="0" w:before="100"/>
      </w:pPr>
      <w:r>
        <w:t xml:space="preserve"/>
      </w:r>
    </w:p>
    <w:p>
      <w:pPr>
        <w:spacing w:after="140" w:before="60"/>
      </w:pPr>
      <w:r>
        <w:rPr>
          <w:color w:val="1A1A1A"/>
          <w:sz w:val="22"/>
          <w:szCs w:val="22"/>
        </w:rPr>
        <w:t xml:space="preserve">The integration governance framework is not bureaucratic overhead. It is the institutional infrastructure that makes the ecosystem trustworthy — to regulators, to clinical partners, to investors, and to patients.</w:t>
      </w:r>
    </w:p>
    <w:p>
      <w:pPr>
        <w:spacing w:after="0" w:before="2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40"/>
              <w:left w:type="dxa" w:w="360"/>
              <w:bottom w:type="dxa" w:w="40"/>
              <w:right w:type="dxa" w:w="360"/>
            </w:tcMar>
          </w:tcPr>
          <w:p>
            <w:pPr>
              <w:spacing w:after="60" w:before="0"/>
            </w:pPr>
            <w:r>
              <w:rPr>
                <w:b/>
                <w:bCs/>
                <w:caps/>
                <w:color w:val="2E75B6"/>
                <w:sz w:val="18"/>
                <w:szCs w:val="18"/>
              </w:rPr>
              <w:t xml:space="preserve">SECTION V</w:t>
            </w:r>
          </w:p>
          <w:p>
            <w:pPr>
              <w:spacing w:after="80" w:before="0"/>
            </w:pPr>
            <w:r>
              <w:rPr>
                <w:b/>
                <w:bCs/>
                <w:color w:val="FFFFFF"/>
                <w:sz w:val="38"/>
                <w:szCs w:val="38"/>
              </w:rPr>
              <w:t xml:space="preserve">Strategic Advantages of This Architecture</w:t>
            </w:r>
          </w:p>
          <w:p>
            <w:pPr>
              <w:spacing w:after="180" w:before="0"/>
            </w:pPr>
            <w:r>
              <w:rPr>
                <w:i/>
                <w:iCs/>
                <w:color w:val="BDD7EE"/>
                <w:sz w:val="20"/>
                <w:szCs w:val="20"/>
              </w:rPr>
              <w:t xml:space="preserve">Why this design is structurally difficult to replicate</w:t>
            </w:r>
          </w:p>
        </w:tc>
      </w:tr>
    </w:tbl>
    <w:p>
      <w:pPr>
        <w:spacing w:after="0" w:before="280"/>
      </w:pPr>
      <w:r>
        <w:t xml:space="preserve"/>
      </w:r>
    </w:p>
    <w:p>
      <w:pPr>
        <w:pStyle w:val="Heading2"/>
      </w:pPr>
      <w:r>
        <w:t xml:space="preserve">V.1  Five Compounding Moats</w:t>
      </w:r>
    </w:p>
    <w:p>
      <w:pPr>
        <w:spacing w:after="140" w:before="60"/>
      </w:pPr>
      <w:r>
        <w:rPr>
          <w:color w:val="1A1A1A"/>
          <w:sz w:val="22"/>
          <w:szCs w:val="22"/>
        </w:rPr>
        <w:t xml:space="preserve">The strategic advantage of Theeb Group's architecture does not rest on any single capability. It rests on five compounding moats that strengthen each other over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Moat</w:t>
            </w:r>
          </w:p>
        </w:tc>
        <w:tc>
          <w:tcPr>
            <w:tcW w:type="dxa" w:w="420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Description</w:t>
            </w:r>
          </w:p>
        </w:tc>
        <w:tc>
          <w:tcPr>
            <w:tcW w:type="dxa" w:w="336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Why It Compounds</w:t>
            </w:r>
          </w:p>
        </w:tc>
      </w:tr>
      <w:tr>
        <w:tc>
          <w:tcPr>
            <w:tcW w:type="dxa" w:w="18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1. Clinical Data Sovereignty</w:t>
            </w:r>
          </w:p>
        </w:tc>
        <w:tc>
          <w:tcPr>
            <w:tcW w:type="dxa" w:w="42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The accumulated corpus of Saudi-specific clinical evidence in FASL's knowledge graph. Built from NAMA Medical trials, NAMA Bio studies, Waraqa publications, and Delivery Group real-world data.</w:t>
            </w:r>
          </w:p>
        </w:tc>
        <w:tc>
          <w:tcPr>
            <w:tcW w:type="dxa" w:w="33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Every year of operation adds irreplaceable data. A competitor starting in 2030 cannot have the data corpus that Theeb Group builds between 2025 and 2030.</w:t>
            </w:r>
          </w:p>
        </w:tc>
      </w:tr>
      <w:tr>
        <w:tc>
          <w:tcPr>
            <w:tcW w:type="dxa" w:w="18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2. Regulatory Architecture</w:t>
            </w:r>
          </w:p>
        </w:tc>
        <w:tc>
          <w:tcPr>
            <w:tcW w:type="dxa" w:w="42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SFDA accreditation (CRO and BE center), SCFHS recognition, CHI partnership, NCA cybersecurity compliance. The web of regulatory relationships built over years of demonstrated quality.</w:t>
            </w:r>
          </w:p>
        </w:tc>
        <w:tc>
          <w:tcPr>
            <w:tcW w:type="dxa" w:w="33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Regulatory trust is earned through time and performance, not purchased. Each year of compliance deepens the relationship and raises the entry barrier for new competitors.</w:t>
            </w:r>
          </w:p>
        </w:tc>
      </w:tr>
      <w:tr>
        <w:tc>
          <w:tcPr>
            <w:tcW w:type="dxa" w:w="18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3. Physician Network</w:t>
            </w:r>
          </w:p>
        </w:tc>
        <w:tc>
          <w:tcPr>
            <w:tcW w:type="dxa" w:w="42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The network of physicians trained by NAMA Knowledge, using FASL, participating in NAMA Medical trials, and practicing within the Delivery Group's Co-Clinic models.</w:t>
            </w:r>
          </w:p>
        </w:tc>
        <w:tc>
          <w:tcPr>
            <w:tcW w:type="dxa" w:w="33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Each additional physician in the network increases the value of FASL for all physicians, expands the research recruitment pool, and strengthens the care delivery footprint.</w:t>
            </w:r>
          </w:p>
        </w:tc>
      </w:tr>
      <w:tr>
        <w:tc>
          <w:tcPr>
            <w:tcW w:type="dxa" w:w="18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4. Integrated Economic Architecture</w:t>
            </w:r>
          </w:p>
        </w:tc>
        <w:tc>
          <w:tcPr>
            <w:tcW w:type="dxa" w:w="42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The combination of RCM infrastructure, clinical documentation, and the MGA model that enables value-based contracting at scale. No competitor offers this integration.</w:t>
            </w:r>
          </w:p>
        </w:tc>
        <w:tc>
          <w:tcPr>
            <w:tcW w:type="dxa" w:w="33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Each value-based contract generates outcomes data that improves the next contract's pricing. The economic architecture becomes more accurate and more competitive with each cycle.</w:t>
            </w:r>
          </w:p>
        </w:tc>
      </w:tr>
      <w:tr>
        <w:tc>
          <w:tcPr>
            <w:tcW w:type="dxa" w:w="18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5. Zero-Dilution IP Ownership</w:t>
            </w:r>
          </w:p>
        </w:tc>
        <w:tc>
          <w:tcPr>
            <w:tcW w:type="dxa" w:w="42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100% ownership of all IP-heavy assets: FASL, Waraqa knowledge corpus, clinical data. External equity enters only NAMA Medical — a services company with no proprietary IP.</w:t>
            </w:r>
          </w:p>
        </w:tc>
        <w:tc>
          <w:tcPr>
            <w:tcW w:type="dxa" w:w="33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Every increase in the value of FASL, the knowledge graph, or the physician network accrues entirely to the founder. Competitors who take VC capital permanently give up equity in their most valuable assets.</w:t>
            </w:r>
          </w:p>
        </w:tc>
      </w:tr>
    </w:tbl>
    <w:p>
      <w:pPr>
        <w:spacing w:after="0" w:before="200"/>
      </w:pPr>
      <w:r>
        <w:t xml:space="preserve"/>
      </w:r>
    </w:p>
    <w:p>
      <w:pPr>
        <w:pStyle w:val="Heading2"/>
      </w:pPr>
      <w:r>
        <w:t xml:space="preserve">V.2  The Irreplicability Argument</w:t>
      </w:r>
    </w:p>
    <w:p>
      <w:pPr>
        <w:spacing w:after="140" w:before="60"/>
      </w:pPr>
      <w:r>
        <w:rPr>
          <w:color w:val="1A1A1A"/>
          <w:sz w:val="22"/>
          <w:szCs w:val="22"/>
        </w:rPr>
        <w:t xml:space="preserve">A competitor who wanted to replicate Theeb Group's architecture would need to simultaneously:</w:t>
      </w:r>
    </w:p>
    <w:p>
      <w:pPr>
        <w:pStyle w:val="ListParagraph"/>
        <w:numPr>
          <w:ilvl w:val="0"/>
          <w:numId w:val="2"/>
        </w:numPr>
        <w:spacing w:after="50" w:before="50"/>
      </w:pPr>
      <w:r>
        <w:rPr>
          <w:color w:val="1A1A1A"/>
          <w:sz w:val="22"/>
          <w:szCs w:val="22"/>
        </w:rPr>
        <w:t xml:space="preserve">Build an SFDA-accredited CRO and BE center (3–5 years minimum from initiation)</w:t>
      </w:r>
    </w:p>
    <w:p>
      <w:pPr>
        <w:pStyle w:val="ListParagraph"/>
        <w:numPr>
          <w:ilvl w:val="0"/>
          <w:numId w:val="2"/>
        </w:numPr>
        <w:spacing w:after="50" w:before="50"/>
      </w:pPr>
      <w:r>
        <w:rPr>
          <w:color w:val="1A1A1A"/>
          <w:sz w:val="22"/>
          <w:szCs w:val="22"/>
        </w:rPr>
        <w:t xml:space="preserve">Generate a corpus of Saudi-specific clinical evidence — which requires completing trials that cannot be rushed</w:t>
      </w:r>
    </w:p>
    <w:p>
      <w:pPr>
        <w:pStyle w:val="ListParagraph"/>
        <w:numPr>
          <w:ilvl w:val="0"/>
          <w:numId w:val="2"/>
        </w:numPr>
        <w:spacing w:after="50" w:before="50"/>
      </w:pPr>
      <w:r>
        <w:rPr>
          <w:color w:val="1A1A1A"/>
          <w:sz w:val="22"/>
          <w:szCs w:val="22"/>
        </w:rPr>
        <w:t xml:space="preserve">Build Arabic clinical NLP trained on Saudi medical evidence, requiring years of specialized data collection</w:t>
      </w:r>
    </w:p>
    <w:p>
      <w:pPr>
        <w:pStyle w:val="ListParagraph"/>
        <w:numPr>
          <w:ilvl w:val="0"/>
          <w:numId w:val="2"/>
        </w:numPr>
        <w:spacing w:after="50" w:before="50"/>
      </w:pPr>
      <w:r>
        <w:rPr>
          <w:color w:val="1A1A1A"/>
          <w:sz w:val="22"/>
          <w:szCs w:val="22"/>
        </w:rPr>
        <w:t xml:space="preserve">Establish regulatory trust with SFDA, SCFHS, CHI, and NCA — built only through demonstrated compliance over time</w:t>
      </w:r>
    </w:p>
    <w:p>
      <w:pPr>
        <w:pStyle w:val="ListParagraph"/>
        <w:numPr>
          <w:ilvl w:val="0"/>
          <w:numId w:val="2"/>
        </w:numPr>
        <w:spacing w:after="50" w:before="50"/>
      </w:pPr>
      <w:r>
        <w:rPr>
          <w:color w:val="1A1A1A"/>
          <w:sz w:val="22"/>
          <w:szCs w:val="22"/>
        </w:rPr>
        <w:t xml:space="preserve">Build a physician network of 25,000+ practitioners through years of training relationships</w:t>
      </w:r>
    </w:p>
    <w:p>
      <w:pPr>
        <w:pStyle w:val="ListParagraph"/>
        <w:numPr>
          <w:ilvl w:val="0"/>
          <w:numId w:val="2"/>
        </w:numPr>
        <w:spacing w:after="50" w:before="50"/>
      </w:pPr>
      <w:r>
        <w:rPr>
          <w:color w:val="1A1A1A"/>
          <w:sz w:val="22"/>
          <w:szCs w:val="22"/>
        </w:rPr>
        <w:t xml:space="preserve">Develop the MGA regulatory infrastructure: licensing, actuarial modeling, CHI relationship-building</w:t>
      </w:r>
    </w:p>
    <w:p>
      <w:pPr>
        <w:pStyle w:val="ListParagraph"/>
        <w:numPr>
          <w:ilvl w:val="0"/>
          <w:numId w:val="2"/>
        </w:numPr>
        <w:spacing w:after="50" w:before="50"/>
      </w:pPr>
      <w:r>
        <w:rPr>
          <w:color w:val="1A1A1A"/>
          <w:sz w:val="22"/>
          <w:szCs w:val="22"/>
        </w:rPr>
        <w:t xml:space="preserve">Build publishing credibility with indexed journals — requiring years of consistent quality performance</w:t>
      </w:r>
    </w:p>
    <w:p>
      <w:pPr>
        <w:spacing w:after="0" w:before="100"/>
      </w:pPr>
      <w:r>
        <w:t xml:space="preserve"/>
      </w:r>
    </w:p>
    <w:p>
      <w:pPr>
        <w:spacing w:after="140" w:before="60"/>
      </w:pPr>
      <w:r>
        <w:rPr>
          <w:color w:val="1A1A1A"/>
          <w:sz w:val="22"/>
          <w:szCs w:val="22"/>
        </w:rPr>
        <w:t xml:space="preserve">The compounding effect means that Theeb Group's structural lead widens over time, not narrows. The most vulnerable competitive window is the first three years — before the regulatory moats are deep and the data corpus is irreplaceable. After that window, the architecture becomes self-protecting.</w:t>
      </w:r>
    </w:p>
    <w:p>
      <w:pPr>
        <w:pStyle w:val="Heading2"/>
      </w:pPr>
      <w:r>
        <w:t xml:space="preserve">V.3  The Self-Funding Advantage</w:t>
      </w:r>
    </w:p>
    <w:p>
      <w:pPr>
        <w:spacing w:after="140" w:before="60"/>
      </w:pPr>
      <w:r>
        <w:rPr>
          <w:color w:val="1A1A1A"/>
          <w:sz w:val="22"/>
          <w:szCs w:val="22"/>
        </w:rPr>
        <w:t xml:space="preserve">Organizations dependent on external capital are vulnerable to capital market cycles. Theeb Group's architecture is designed to be largely self-funding:</w:t>
      </w:r>
    </w:p>
    <w:p>
      <w:pPr>
        <w:pStyle w:val="ListParagraph"/>
        <w:numPr>
          <w:ilvl w:val="0"/>
          <w:numId w:val="2"/>
        </w:numPr>
        <w:spacing w:after="50" w:before="50"/>
      </w:pPr>
      <w:r>
        <w:rPr>
          <w:color w:val="1A1A1A"/>
          <w:sz w:val="22"/>
          <w:szCs w:val="22"/>
        </w:rPr>
        <w:t xml:space="preserve">NAMA Medical is funded by Alfaisaliah Group's strategic equity — a one-time transaction with a built-in revenue commitment</w:t>
      </w:r>
    </w:p>
    <w:p>
      <w:pPr>
        <w:pStyle w:val="ListParagraph"/>
        <w:numPr>
          <w:ilvl w:val="0"/>
          <w:numId w:val="2"/>
        </w:numPr>
        <w:spacing w:after="50" w:before="50"/>
      </w:pPr>
      <w:r>
        <w:rPr>
          <w:color w:val="1A1A1A"/>
          <w:sz w:val="22"/>
          <w:szCs w:val="22"/>
        </w:rPr>
        <w:t xml:space="preserve">NAMA Bio is funded by a government grant; self-sustaining at 5–8 completed studies</w:t>
      </w:r>
    </w:p>
    <w:p>
      <w:pPr>
        <w:pStyle w:val="ListParagraph"/>
        <w:numPr>
          <w:ilvl w:val="0"/>
          <w:numId w:val="2"/>
        </w:numPr>
        <w:spacing w:after="50" w:before="50"/>
      </w:pPr>
      <w:r>
        <w:rPr>
          <w:color w:val="1A1A1A"/>
          <w:sz w:val="22"/>
          <w:szCs w:val="22"/>
        </w:rPr>
        <w:t xml:space="preserve">Waraqa is self-sustaining from existing revenue; also funds NAMA Knowledge operations</w:t>
      </w:r>
    </w:p>
    <w:p>
      <w:pPr>
        <w:pStyle w:val="ListParagraph"/>
        <w:numPr>
          <w:ilvl w:val="0"/>
          <w:numId w:val="2"/>
        </w:numPr>
        <w:spacing w:after="50" w:before="50"/>
      </w:pPr>
      <w:r>
        <w:rPr>
          <w:color w:val="1A1A1A"/>
          <w:sz w:val="22"/>
          <w:szCs w:val="22"/>
        </w:rPr>
        <w:t xml:space="preserve">FASL is funded through government grants and the CHI partnership — no VC equity required</w:t>
      </w:r>
    </w:p>
    <w:p>
      <w:pPr>
        <w:spacing w:after="0" w:before="100"/>
      </w:pPr>
      <w:r>
        <w:t xml:space="preserve"/>
      </w:r>
    </w:p>
    <w:p>
      <w:pPr>
        <w:spacing w:after="140" w:before="60"/>
      </w:pPr>
      <w:r>
        <w:rPr>
          <w:color w:val="1A1A1A"/>
          <w:sz w:val="22"/>
          <w:szCs w:val="22"/>
        </w:rPr>
        <w:t xml:space="preserve">This structure provides permanent operational independence. When capital markets are tight, Theeb Group continues to operate and invest. This independence is the structural prerequisite for thinking in decades.</w:t>
      </w:r>
    </w:p>
    <w:p>
      <w:pPr>
        <w:spacing w:after="0" w:before="2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40"/>
              <w:left w:type="dxa" w:w="360"/>
              <w:bottom w:type="dxa" w:w="40"/>
              <w:right w:type="dxa" w:w="360"/>
            </w:tcMar>
          </w:tcPr>
          <w:p>
            <w:pPr>
              <w:spacing w:after="60" w:before="0"/>
            </w:pPr>
            <w:r>
              <w:rPr>
                <w:b/>
                <w:bCs/>
                <w:caps/>
                <w:color w:val="2E75B6"/>
                <w:sz w:val="18"/>
                <w:szCs w:val="18"/>
              </w:rPr>
              <w:t xml:space="preserve">SECTION VI</w:t>
            </w:r>
          </w:p>
          <w:p>
            <w:pPr>
              <w:spacing w:after="80" w:before="0"/>
            </w:pPr>
            <w:r>
              <w:rPr>
                <w:b/>
                <w:bCs/>
                <w:color w:val="FFFFFF"/>
                <w:sz w:val="38"/>
                <w:szCs w:val="38"/>
              </w:rPr>
              <w:t xml:space="preserve">The Platform Flywheel</w:t>
            </w:r>
          </w:p>
          <w:p>
            <w:pPr>
              <w:spacing w:after="180" w:before="0"/>
            </w:pPr>
            <w:r>
              <w:rPr>
                <w:i/>
                <w:iCs/>
                <w:color w:val="BDD7EE"/>
                <w:sz w:val="20"/>
                <w:szCs w:val="20"/>
              </w:rPr>
              <w:t xml:space="preserve">How each Pillar reinforces the others to create a self-accelerating system</w:t>
            </w:r>
          </w:p>
        </w:tc>
      </w:tr>
    </w:tbl>
    <w:p>
      <w:pPr>
        <w:spacing w:after="0" w:before="280"/>
      </w:pPr>
      <w:r>
        <w:t xml:space="preserve"/>
      </w:r>
    </w:p>
    <w:p>
      <w:pPr>
        <w:pStyle w:val="Heading2"/>
      </w:pPr>
      <w:r>
        <w:t xml:space="preserve">VI.1  The Flywheel Concept</w:t>
      </w:r>
    </w:p>
    <w:p>
      <w:pPr>
        <w:spacing w:after="140" w:before="60"/>
      </w:pPr>
      <w:r>
        <w:rPr>
          <w:color w:val="1A1A1A"/>
          <w:sz w:val="22"/>
          <w:szCs w:val="22"/>
        </w:rPr>
        <w:t xml:space="preserve">A flywheel stores rotational energy. It is difficult to start — the initial push requires significant effort. But as it builds momentum, each push becomes easier, and eventually the flywheel spins under its own weight with minimal additional input. The flywheel metaphor describes how Theeb Group's three Pillars interact to create an ecosystem that becomes progressively easier to operate and more difficult to compete against as it matures.</w:t>
      </w:r>
    </w:p>
    <w:p>
      <w:pPr>
        <w:spacing w:after="140" w:before="60"/>
      </w:pPr>
      <w:r>
        <w:rPr>
          <w:color w:val="1A1A1A"/>
          <w:sz w:val="22"/>
          <w:szCs w:val="22"/>
        </w:rPr>
        <w:t xml:space="preserve">There is no single defining moment when the flywheel activates. There is only consistent investment in the right direction, until the accumulated momentum of data, relationships, and infrastructure makes every new push more powerful than the last.</w:t>
      </w:r>
    </w:p>
    <w:p>
      <w:pPr>
        <w:pStyle w:val="Heading2"/>
      </w:pPr>
      <w:r>
        <w:t xml:space="preserve">VI.2  The Knowledge–Value–Delivery Flywheel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80"/>
              <w:left w:type="dxa" w:w="320"/>
              <w:bottom w:type="dxa" w:w="280"/>
              <w:right w:type="dxa" w:w="320"/>
            </w:tcMar>
          </w:tcPr>
          <w:p>
            <w:pPr>
              <w:spacing w:after="220" w:before="0"/>
              <w:jc w:val="center"/>
            </w:pPr>
            <w:r>
              <w:rPr>
                <w:b/>
                <w:bCs/>
                <w:caps/>
                <w:color w:val="FFFFFF"/>
                <w:sz w:val="22"/>
                <w:szCs w:val="22"/>
              </w:rPr>
              <w:t xml:space="preserve">THE KNOWLEDGE–VALUE–DELIVERY FLYWHEEL</w:t>
            </w:r>
          </w:p>
          <w:p>
            <w:pPr>
              <w:spacing w:after="60" w:before="0"/>
              <w:jc w:val="center"/>
            </w:pPr>
            <w:r>
              <w:rPr>
                <w:color w:val="BDD7EE"/>
                <w:sz w:val="20"/>
                <w:szCs w:val="20"/>
              </w:rPr>
              <w:t xml:space="preserve">Knowledge Group trains physicians  →  Physicians use FASL  →  FASL detects evidence gaps</w:t>
            </w:r>
          </w:p>
          <w:p>
            <w:pPr>
              <w:spacing w:after="60" w:before="0"/>
              <w:jc w:val="center"/>
            </w:pPr>
            <w:r>
              <w:rPr>
                <w:color w:val="BDD7EE"/>
                <w:sz w:val="20"/>
                <w:szCs w:val="20"/>
              </w:rPr>
              <w:t xml:space="preserve">CRO executes research  →  Data enters Knowledge Graph  →  Waraqa publishes evidence</w:t>
            </w:r>
          </w:p>
          <w:p>
            <w:pPr>
              <w:spacing w:after="60" w:before="0"/>
              <w:jc w:val="center"/>
            </w:pPr>
            <w:r>
              <w:rPr>
                <w:color w:val="BDD7EE"/>
                <w:sz w:val="20"/>
                <w:szCs w:val="20"/>
              </w:rPr>
              <w:t xml:space="preserve">FASL delivers better answers  →  More physicians trust and use FASL</w:t>
            </w:r>
          </w:p>
          <w:p>
            <w:pPr>
              <w:spacing w:after="60" w:before="0"/>
              <w:jc w:val="center"/>
            </w:pPr>
            <w:r>
              <w:rPr>
                <w:color w:val="BDD7EE"/>
                <w:sz w:val="20"/>
                <w:szCs w:val="20"/>
              </w:rPr>
              <w:t xml:space="preserve">Delivery Group generates outcomes data  →  Value Group prices risk more accurately</w:t>
            </w:r>
          </w:p>
          <w:p>
            <w:pPr>
              <w:spacing w:after="60" w:before="0"/>
              <w:jc w:val="center"/>
            </w:pPr>
            <w:r>
              <w:rPr>
                <w:color w:val="BDD7EE"/>
                <w:sz w:val="20"/>
                <w:szCs w:val="20"/>
              </w:rPr>
              <w:t xml:space="preserve">MGA designs better value-based contracts  →  Delivery Group funded to deliver better care</w:t>
            </w:r>
          </w:p>
          <w:p>
            <w:pPr>
              <w:spacing w:after="0" w:before="0"/>
              <w:jc w:val="center"/>
            </w:pPr>
            <w:r>
              <w:rPr>
                <w:b/>
                <w:bCs/>
                <w:color w:val="EBF2FA"/>
                <w:sz w:val="20"/>
                <w:szCs w:val="20"/>
              </w:rPr>
              <w:t xml:space="preserve">Better care generates better evidence  →  Knowledge Group improves  →  Cycle accelerates</w:t>
            </w:r>
          </w:p>
        </w:tc>
      </w:tr>
    </w:tbl>
    <w:p>
      <w:pPr>
        <w:spacing w:after="0" w:before="240"/>
      </w:pPr>
      <w:r>
        <w:t xml:space="preserve"/>
      </w:r>
    </w:p>
    <w:p>
      <w:pPr>
        <w:pStyle w:val="Heading2"/>
      </w:pPr>
      <w:r>
        <w:t xml:space="preserve">VI.3  Flywheel Development Stages</w:t>
      </w:r>
    </w:p>
    <w:p>
      <w:pPr>
        <w:spacing w:after="80" w:before="220"/>
      </w:pPr>
      <w:r>
        <w:rPr>
          <w:b/>
          <w:bCs/>
          <w:color w:val="1A2E4A"/>
          <w:sz w:val="24"/>
          <w:szCs w:val="24"/>
        </w:rPr>
        <w:t xml:space="preserve">Stage 1 — Initiate (2025–2026)</w:t>
      </w:r>
    </w:p>
    <w:p>
      <w:pPr>
        <w:spacing w:after="140" w:before="60"/>
      </w:pPr>
      <w:r>
        <w:rPr>
          <w:color w:val="1A1A1A"/>
          <w:sz w:val="22"/>
          <w:szCs w:val="22"/>
        </w:rPr>
        <w:t xml:space="preserve">Each entity launches independently and builds its initial value proposition. FASL acquires the first 500–2,000 practitioners. NAMA Medical executes the first trials. Waraqa begins publishing and indexing. The Delivery Group establishes its first care model footprint. The Value Group builds RCM infrastructure. Integration flows are established but have not yet created significant compounding value.</w:t>
      </w:r>
    </w:p>
    <w:p>
      <w:pPr>
        <w:spacing w:after="80" w:before="220"/>
      </w:pPr>
      <w:r>
        <w:rPr>
          <w:b/>
          <w:bCs/>
          <w:color w:val="1A2E4A"/>
          <w:sz w:val="24"/>
          <w:szCs w:val="24"/>
        </w:rPr>
        <w:t xml:space="preserve">Stage 2 — Connect (2026–2027)</w:t>
      </w:r>
    </w:p>
    <w:p>
      <w:pPr>
        <w:spacing w:after="140" w:before="60"/>
      </w:pPr>
      <w:r>
        <w:rPr>
          <w:color w:val="1A1A1A"/>
          <w:sz w:val="22"/>
          <w:szCs w:val="22"/>
        </w:rPr>
        <w:t xml:space="preserve">Inter-company agreements are signed and data flows are operational. FASL begins receiving real-world evidence from the Delivery Group. Evidence gap signals begin informing NAMA Medical's trial design. Waraqa publications begin appearing in FASL's knowledge graph. The MGA model's first value-based contracts are signed. The flywheel begins to turn.</w:t>
      </w:r>
    </w:p>
    <w:p>
      <w:pPr>
        <w:spacing w:after="80" w:before="220"/>
      </w:pPr>
      <w:r>
        <w:rPr>
          <w:b/>
          <w:bCs/>
          <w:color w:val="1A2E4A"/>
          <w:sz w:val="24"/>
          <w:szCs w:val="24"/>
        </w:rPr>
        <w:t xml:space="preserve">Stage 3 — Accelerate (2027–2030)</w:t>
      </w:r>
    </w:p>
    <w:p>
      <w:pPr>
        <w:spacing w:after="140" w:before="60"/>
      </w:pPr>
      <w:r>
        <w:rPr>
          <w:color w:val="1A1A1A"/>
          <w:sz w:val="22"/>
          <w:szCs w:val="22"/>
        </w:rPr>
        <w:t xml:space="preserve">Network effects emerge. More physicians on FASL generate better evidence gap intelligence. More trials generate more data for the knowledge graph. The MGA's growing claims database improves risk pricing. The Delivery Group's growing patient network generates richer real-world evidence. Each push on the flywheel is more powerful than the previous one.</w:t>
      </w:r>
    </w:p>
    <w:p>
      <w:pPr>
        <w:spacing w:after="80" w:before="220"/>
      </w:pPr>
      <w:r>
        <w:rPr>
          <w:b/>
          <w:bCs/>
          <w:color w:val="1A2E4A"/>
          <w:sz w:val="24"/>
          <w:szCs w:val="24"/>
        </w:rPr>
        <w:t xml:space="preserve">Stage 4 — Compound (2030–2035)</w:t>
      </w:r>
    </w:p>
    <w:p>
      <w:pPr>
        <w:spacing w:after="140" w:before="60"/>
      </w:pPr>
      <w:r>
        <w:rPr>
          <w:color w:val="1A1A1A"/>
          <w:sz w:val="22"/>
          <w:szCs w:val="22"/>
        </w:rPr>
        <w:t xml:space="preserve">The flywheel becomes self-sustaining. Evidence generated by the ecosystem is cited in Saudi clinical guidelines. The knowledge graph is comprehensive enough to answer virtually all common clinical questions with locally-validated Saudi evidence. The MGA manages risk across a large enough population to achieve reliable actuarial precision. External capital is not required for operations.</w:t>
      </w:r>
    </w:p>
    <w:p>
      <w:pPr>
        <w:spacing w:after="80" w:before="220"/>
      </w:pPr>
      <w:r>
        <w:rPr>
          <w:b/>
          <w:bCs/>
          <w:color w:val="1A2E4A"/>
          <w:sz w:val="24"/>
          <w:szCs w:val="24"/>
        </w:rPr>
        <w:t xml:space="preserve">Stage 5 — Institutionalize (2035+)</w:t>
      </w:r>
    </w:p>
    <w:p>
      <w:pPr>
        <w:spacing w:after="140" w:before="60"/>
      </w:pPr>
      <w:r>
        <w:rPr>
          <w:color w:val="1A1A1A"/>
          <w:sz w:val="22"/>
          <w:szCs w:val="22"/>
        </w:rPr>
        <w:t xml:space="preserve">The ecosystem achieves infrastructure status — not as a product or platform, but as a formal component of Saudi Arabia's healthcare architecture. Government ministries rely on Theeb Group's knowledge infrastructure for guideline development. The MGA model is referenced in national health financing design. The distinction between 'Theeb Group's ecosystem' and 'Saudi Arabia's healthcare knowledge infrastructure' begins to blur.</w:t>
      </w:r>
    </w:p>
    <w:p>
      <w:pPr>
        <w:spacing w:after="0" w:before="2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40"/>
              <w:left w:type="dxa" w:w="360"/>
              <w:bottom w:type="dxa" w:w="40"/>
              <w:right w:type="dxa" w:w="360"/>
            </w:tcMar>
          </w:tcPr>
          <w:p>
            <w:pPr>
              <w:spacing w:after="60" w:before="0"/>
            </w:pPr>
            <w:r>
              <w:rPr>
                <w:b/>
                <w:bCs/>
                <w:caps/>
                <w:color w:val="2E75B6"/>
                <w:sz w:val="18"/>
                <w:szCs w:val="18"/>
              </w:rPr>
              <w:t xml:space="preserve">SECTION VII</w:t>
            </w:r>
          </w:p>
          <w:p>
            <w:pPr>
              <w:spacing w:after="80" w:before="0"/>
            </w:pPr>
            <w:r>
              <w:rPr>
                <w:b/>
                <w:bCs/>
                <w:color w:val="FFFFFF"/>
                <w:sz w:val="38"/>
                <w:szCs w:val="38"/>
              </w:rPr>
              <w:t xml:space="preserve">Institutional Governance Philosophy</w:t>
            </w:r>
          </w:p>
          <w:p>
            <w:pPr>
              <w:spacing w:after="180" w:before="0"/>
            </w:pPr>
            <w:r>
              <w:rPr>
                <w:i/>
                <w:iCs/>
                <w:color w:val="BDD7EE"/>
                <w:sz w:val="20"/>
                <w:szCs w:val="20"/>
              </w:rPr>
              <w:t xml:space="preserve">The principles that preserve the ecosystem's integrity across generations</w:t>
            </w:r>
          </w:p>
        </w:tc>
      </w:tr>
    </w:tbl>
    <w:p>
      <w:pPr>
        <w:spacing w:after="0" w:before="280"/>
      </w:pPr>
      <w:r>
        <w:t xml:space="preserve"/>
      </w:r>
    </w:p>
    <w:p>
      <w:pPr>
        <w:pStyle w:val="Heading2"/>
      </w:pPr>
      <w:r>
        <w:t xml:space="preserve">VII.1  The Governance Imperative</w:t>
      </w:r>
    </w:p>
    <w:p>
      <w:pPr>
        <w:spacing w:after="140" w:before="60"/>
      </w:pPr>
      <w:r>
        <w:rPr>
          <w:color w:val="1A1A1A"/>
          <w:sz w:val="22"/>
          <w:szCs w:val="22"/>
        </w:rPr>
        <w:t xml:space="preserve">An institution designed to operate for 30–50 years will outlast many leadership cycles. Its governance structure must therefore be designed not for the current generation of leaders, but for the principles that should constrain and guide all future generations.</w:t>
      </w:r>
    </w:p>
    <w:p>
      <w:pPr>
        <w:spacing w:after="140" w:before="60"/>
      </w:pPr>
      <w:r>
        <w:rPr>
          <w:color w:val="1A1A1A"/>
          <w:sz w:val="22"/>
          <w:szCs w:val="22"/>
        </w:rPr>
        <w:t xml:space="preserve">The fundamental governance challenge of Theeb Group is preserving the integrity of the knowledge infrastructure — its neutrality, its quality standards, and its long-term perspective — while operating as a commercially viable enterprise. Commercial pressure can corrupt scientific neutrality. Short-term financial targets can undermine long-term infrastructure investment. Political pressure from partners can distort evidence quality. Governance is the institutional mechanism through which these tensions are managed.</w:t>
      </w:r>
    </w:p>
    <w:p>
      <w:pPr>
        <w:pStyle w:val="Heading2"/>
      </w:pPr>
      <w:r>
        <w:t xml:space="preserve">VII.2  Eight Governance Principles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Principle</w:t>
            </w:r>
          </w:p>
        </w:tc>
        <w:tc>
          <w:tcPr>
            <w:tcW w:type="dxa" w:w="696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Institutional Application</w:t>
            </w:r>
          </w:p>
        </w:tc>
      </w:tr>
      <w:tr>
        <w:tc>
          <w:tcPr>
            <w:tcW w:type="dxa" w:w="24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Founder Majority Control</w:t>
            </w:r>
          </w:p>
        </w:tc>
        <w:tc>
          <w:tcPr>
            <w:tcW w:type="dxa" w:w="69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The founder retains majority control of all Group-level decisions through the constitutional structure of the holding company. Control is structural, not dependent on day-to-day involvement. Achieved through the zero-dilution IP ownership strategy — highest-value assets remain wholly owned.</w:t>
            </w:r>
          </w:p>
        </w:tc>
      </w:tr>
      <w:tr>
        <w:tc>
          <w:tcPr>
            <w:tcW w:type="dxa" w:w="24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Autonomous P&amp;Ls</w:t>
            </w:r>
          </w:p>
        </w:tc>
        <w:tc>
          <w:tcPr>
            <w:tcW w:type="dxa" w:w="69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Each entity maintains its own general manager, budget, revenue targets, and operational independence. This ensures each entity is accountable for its own performance and prevents cross-subsidization that distorts economic reality.</w:t>
            </w:r>
          </w:p>
        </w:tc>
      </w:tr>
      <w:tr>
        <w:tc>
          <w:tcPr>
            <w:tcW w:type="dxa" w:w="24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Shared Services Centralization</w:t>
            </w:r>
          </w:p>
        </w:tc>
        <w:tc>
          <w:tcPr>
            <w:tcW w:type="dxa" w:w="69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Legal, finance, IT infrastructure, data governance, and compliance are centralized at the Group level. This creates consistent standards across all entities and prevents governance fragmentation.</w:t>
            </w:r>
          </w:p>
        </w:tc>
      </w:tr>
      <w:tr>
        <w:tc>
          <w:tcPr>
            <w:tcW w:type="dxa" w:w="24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Editorial Independence of Waraqa</w:t>
            </w:r>
          </w:p>
        </w:tc>
        <w:tc>
          <w:tcPr>
            <w:tcW w:type="dxa" w:w="69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Waraqa's peer review and publication decisions are constitutionally protected from commercial pressure. No entity — including NAMA Medical — can influence Waraqa's editorial judgment. This non-negotiable independence is what makes Waraqa's publications credible and therefore valuable.</w:t>
            </w:r>
          </w:p>
        </w:tc>
      </w:tr>
      <w:tr>
        <w:tc>
          <w:tcPr>
            <w:tcW w:type="dxa" w:w="24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Data Governance Sovereignty</w:t>
            </w:r>
          </w:p>
        </w:tc>
        <w:tc>
          <w:tcPr>
            <w:tcW w:type="dxa" w:w="69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All patient data remains within Saudi-compliant infrastructure. Inter-company data flows are governed by formal agreements with arm's length pricing, de-identification requirements, and PDPL compliance. Patient data is an institutional asset, not a commercial commodity.</w:t>
            </w:r>
          </w:p>
        </w:tc>
      </w:tr>
      <w:tr>
        <w:tc>
          <w:tcPr>
            <w:tcW w:type="dxa" w:w="24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Transfer Pricing Integrity</w:t>
            </w:r>
          </w:p>
        </w:tc>
        <w:tc>
          <w:tcPr>
            <w:tcW w:type="dxa" w:w="69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All inter-company transactions are priced at arm's length rates compliant with ZATCA transfer pricing regulations. This prevents distortion of entity-level economics and ensures the Group's financial integrity.</w:t>
            </w:r>
          </w:p>
        </w:tc>
      </w:tr>
      <w:tr>
        <w:tc>
          <w:tcPr>
            <w:tcW w:type="dxa" w:w="24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Scientific Advisory Board</w:t>
            </w:r>
          </w:p>
        </w:tc>
        <w:tc>
          <w:tcPr>
            <w:tcW w:type="dxa" w:w="69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A Scientific Advisory Board of senior clinicians, researchers, and regulators provides independent guidance on the quality standards of the Knowledge Group and advises on research priorities. Membership is independent of the Group's commercial interests.</w:t>
            </w:r>
          </w:p>
        </w:tc>
      </w:tr>
      <w:tr>
        <w:tc>
          <w:tcPr>
            <w:tcW w:type="dxa" w:w="24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Constitutional Hierarchy</w:t>
            </w:r>
          </w:p>
        </w:tc>
        <w:tc>
          <w:tcPr>
            <w:tcW w:type="dxa" w:w="69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All entity-level documents and decisions are subordinate to this Master Architecture. When conflicts arise between any entity's commercial interest and the Group's constitutional principles, the constitutional principles prevail.</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2E4A"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BF2FA" w:val="clear"/>
            <w:tcMar>
              <w:top w:type="dxa" w:w="160"/>
              <w:left w:type="dxa" w:w="220"/>
              <w:bottom w:type="dxa" w:w="160"/>
              <w:right w:type="dxa" w:w="220"/>
            </w:tcMar>
          </w:tcPr>
          <w:p>
            <w:pPr>
              <w:spacing w:after="0" w:before="0"/>
            </w:pPr>
            <w:r>
              <w:rPr>
                <w:i/>
                <w:iCs/>
                <w:color w:val="1A2E4A"/>
                <w:sz w:val="22"/>
                <w:szCs w:val="22"/>
              </w:rPr>
              <w:t xml:space="preserve">The most valuable governance asset of a knowledge institution is its reputation for integrity. Reputation, once damaged by perceived conflicts of interest or quality failures, is extraordinarily difficult to restore. Governance must be designed to prevent these failures — not merely to respond to them.</w:t>
            </w:r>
          </w:p>
        </w:tc>
      </w:tr>
    </w:tbl>
    <w:p>
      <w:pPr>
        <w:spacing w:after="0" w:before="220"/>
      </w:pPr>
      <w:r>
        <w:t xml:space="preserve"/>
      </w:r>
    </w:p>
    <w:p>
      <w:pPr>
        <w:pStyle w:val="Heading2"/>
      </w:pPr>
      <w:r>
        <w:t xml:space="preserve">VII.3  The Long-Term Capital Philosophy</w:t>
      </w:r>
    </w:p>
    <w:p>
      <w:pPr>
        <w:spacing w:after="140" w:before="60"/>
      </w:pPr>
      <w:r>
        <w:rPr>
          <w:color w:val="1A1A1A"/>
          <w:sz w:val="22"/>
          <w:szCs w:val="22"/>
        </w:rPr>
        <w:t xml:space="preserve">External equity is appropriate only where: the entity has no proprietary IP; the strategic investor brings more than capital; and dilution is bounded, never exceeding a minority position. This principle is why only NAMA Medical — the CRO services company with no proprietary IP — takes external equity, from Alfaisaliah Group, a strategic investor with a built-in pharmaceutical trial pipeline.</w:t>
      </w:r>
    </w:p>
    <w:p>
      <w:pPr>
        <w:spacing w:after="140" w:before="60"/>
      </w:pPr>
      <w:r>
        <w:rPr>
          <w:color w:val="1A1A1A"/>
          <w:sz w:val="22"/>
          <w:szCs w:val="22"/>
        </w:rPr>
        <w:t xml:space="preserve">This is not conservatism. It is a 30-year ownership calculation: the compounding value of owning 100% of FASL, the knowledge graph, and Waraqa for 30 years vastly exceeds the operational convenience of funding them with VC capital at the cost of permanent equity dilution.</w:t>
      </w:r>
    </w:p>
    <w:p>
      <w:pPr>
        <w:spacing w:after="0" w:before="2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40"/>
              <w:left w:type="dxa" w:w="360"/>
              <w:bottom w:type="dxa" w:w="40"/>
              <w:right w:type="dxa" w:w="360"/>
            </w:tcMar>
          </w:tcPr>
          <w:p>
            <w:pPr>
              <w:spacing w:after="60" w:before="0"/>
            </w:pPr>
            <w:r>
              <w:rPr>
                <w:b/>
                <w:bCs/>
                <w:caps/>
                <w:color w:val="2E75B6"/>
                <w:sz w:val="18"/>
                <w:szCs w:val="18"/>
              </w:rPr>
              <w:t xml:space="preserve">SECTION VIII</w:t>
            </w:r>
          </w:p>
          <w:p>
            <w:pPr>
              <w:spacing w:after="80" w:before="0"/>
            </w:pPr>
            <w:r>
              <w:rPr>
                <w:b/>
                <w:bCs/>
                <w:color w:val="FFFFFF"/>
                <w:sz w:val="38"/>
                <w:szCs w:val="38"/>
              </w:rPr>
              <w:t xml:space="preserve">Innovation Pipeline</w:t>
            </w:r>
          </w:p>
          <w:p>
            <w:pPr>
              <w:spacing w:after="180" w:before="0"/>
            </w:pPr>
            <w:r>
              <w:rPr>
                <w:i/>
                <w:iCs/>
                <w:color w:val="BDD7EE"/>
                <w:sz w:val="20"/>
                <w:szCs w:val="20"/>
              </w:rPr>
              <w:t xml:space="preserve">From clinical question to care delivery — the full lifecycle of clinical innovation</w:t>
            </w:r>
          </w:p>
        </w:tc>
      </w:tr>
    </w:tbl>
    <w:p>
      <w:pPr>
        <w:spacing w:after="0" w:before="280"/>
      </w:pPr>
      <w:r>
        <w:t xml:space="preserve"/>
      </w:r>
    </w:p>
    <w:p>
      <w:pPr>
        <w:pStyle w:val="Heading2"/>
      </w:pPr>
      <w:r>
        <w:t xml:space="preserve">VIII.1  The Innovation Architecture</w:t>
      </w:r>
    </w:p>
    <w:p>
      <w:pPr>
        <w:spacing w:after="140" w:before="60"/>
      </w:pPr>
      <w:r>
        <w:rPr>
          <w:color w:val="1A1A1A"/>
          <w:sz w:val="22"/>
          <w:szCs w:val="22"/>
        </w:rPr>
        <w:t xml:space="preserve">Clinical innovation in a siloed healthcare system follows a long and inefficient path: a researcher identifies a question, conducts a study over years, publishes in a journal practitioners do not read, where the finding sits for another decade before influencing practice — if it ever does.</w:t>
      </w:r>
    </w:p>
    <w:p>
      <w:pPr>
        <w:spacing w:after="140" w:before="60"/>
      </w:pPr>
      <w:r>
        <w:rPr>
          <w:color w:val="1A1A1A"/>
          <w:sz w:val="22"/>
          <w:szCs w:val="22"/>
        </w:rPr>
        <w:t xml:space="preserve">Theeb Group's integrated architecture compresses this cycle dramatically and ensures that innovation follows a formal, governed pathway from question to evidence to practice. The Innovation Pipeline is not a process imposed on researchers — it is the natural consequence of how the three Pillars interact.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6760"/>
      </w:tblGrid>
      <w:tr>
        <w:trPr>
          <w:tblHeader/>
        </w:trPr>
        <w:tc>
          <w:tcPr>
            <w:tcW w:type="dxa" w:w="50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Stage</w:t>
            </w:r>
          </w:p>
        </w:tc>
        <w:tc>
          <w:tcPr>
            <w:tcW w:type="dxa" w:w="210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Pipeline Stage</w:t>
            </w:r>
          </w:p>
        </w:tc>
        <w:tc>
          <w:tcPr>
            <w:tcW w:type="dxa" w:w="676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Description</w:t>
            </w:r>
          </w:p>
        </w:tc>
      </w:tr>
      <w:tr>
        <w:tc>
          <w:tcPr>
            <w:tcW w:type="dxa" w:w="5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1</w:t>
            </w:r>
          </w:p>
        </w:tc>
        <w:tc>
          <w:tcPr>
            <w:tcW w:type="dxa" w:w="21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Clinical Question Emergence</w:t>
            </w:r>
          </w:p>
        </w:tc>
        <w:tc>
          <w:tcPr>
            <w:tcW w:type="dxa" w:w="67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A physician treats a patient and encounters uncertainty. They query FASL. FASL answers, or identifies that the evidence to answer the question does not exist for Saudi patients.</w:t>
            </w:r>
          </w:p>
        </w:tc>
      </w:tr>
      <w:tr>
        <w:tc>
          <w:tcPr>
            <w:tcW w:type="dxa" w:w="5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2</w:t>
            </w:r>
          </w:p>
        </w:tc>
        <w:tc>
          <w:tcPr>
            <w:tcW w:type="dxa" w:w="21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Evidence Gap Detection</w:t>
            </w:r>
          </w:p>
        </w:tc>
        <w:tc>
          <w:tcPr>
            <w:tcW w:type="dxa" w:w="67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FASL's Research Question Builder aggregates similar queries from multiple physicians and structures the gap as a formal PICO research question (Population, Intervention, Comparison, Outcome). The question is routed to the Knowledge Group.</w:t>
            </w:r>
          </w:p>
        </w:tc>
      </w:tr>
      <w:tr>
        <w:tc>
          <w:tcPr>
            <w:tcW w:type="dxa" w:w="5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3</w:t>
            </w:r>
          </w:p>
        </w:tc>
        <w:tc>
          <w:tcPr>
            <w:tcW w:type="dxa" w:w="21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Research Prioritization</w:t>
            </w:r>
          </w:p>
        </w:tc>
        <w:tc>
          <w:tcPr>
            <w:tcW w:type="dxa" w:w="67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The Knowledge Group evaluates the PICO question against feasibility, funding availability, clinical impact, and strategic alignment. High-priority feasible questions are designed into study protocols.</w:t>
            </w:r>
          </w:p>
        </w:tc>
      </w:tr>
      <w:tr>
        <w:tc>
          <w:tcPr>
            <w:tcW w:type="dxa" w:w="5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4</w:t>
            </w:r>
          </w:p>
        </w:tc>
        <w:tc>
          <w:tcPr>
            <w:tcW w:type="dxa" w:w="21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Research Execution</w:t>
            </w:r>
          </w:p>
        </w:tc>
        <w:tc>
          <w:tcPr>
            <w:tcW w:type="dxa" w:w="67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NAMA Medical or NAMA Bio executes the study — clinical trial, BE study, or observational research — to GCP and SFDA standards, recruiting from the physician network and Delivery Group patient population.</w:t>
            </w:r>
          </w:p>
        </w:tc>
      </w:tr>
      <w:tr>
        <w:tc>
          <w:tcPr>
            <w:tcW w:type="dxa" w:w="5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5</w:t>
            </w:r>
          </w:p>
        </w:tc>
        <w:tc>
          <w:tcPr>
            <w:tcW w:type="dxa" w:w="21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Data Generation and Governance</w:t>
            </w:r>
          </w:p>
        </w:tc>
        <w:tc>
          <w:tcPr>
            <w:tcW w:type="dxa" w:w="67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Structured, CDISC-standardized data flows into FASL's Knowledge Graph under formal data licensing agreements. De-identified and PDPL-compliant. Saudi-specific data is explicitly flagged in the evidence hierarchy.</w:t>
            </w:r>
          </w:p>
        </w:tc>
      </w:tr>
      <w:tr>
        <w:tc>
          <w:tcPr>
            <w:tcW w:type="dxa" w:w="5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6</w:t>
            </w:r>
          </w:p>
        </w:tc>
        <w:tc>
          <w:tcPr>
            <w:tcW w:type="dxa" w:w="21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Evidence Validation</w:t>
            </w:r>
          </w:p>
        </w:tc>
        <w:tc>
          <w:tcPr>
            <w:tcW w:type="dxa" w:w="67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Waraqa provides medical writing support, manages peer review, and publishes the finding in IJMDC or an affiliated journal. The evidence is independently validated and citable in international literature.</w:t>
            </w:r>
          </w:p>
        </w:tc>
      </w:tr>
      <w:tr>
        <w:tc>
          <w:tcPr>
            <w:tcW w:type="dxa" w:w="5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7</w:t>
            </w:r>
          </w:p>
        </w:tc>
        <w:tc>
          <w:tcPr>
            <w:tcW w:type="dxa" w:w="21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Knowledge Integration</w:t>
            </w:r>
          </w:p>
        </w:tc>
        <w:tc>
          <w:tcPr>
            <w:tcW w:type="dxa" w:w="67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The published evidence is indexed in FASL's Knowledge Graph, enriching the evidence base for the specific clinical question that generated the research. Physicians who asked the original question receive the answer.</w:t>
            </w:r>
          </w:p>
        </w:tc>
      </w:tr>
      <w:tr>
        <w:tc>
          <w:tcPr>
            <w:tcW w:type="dxa" w:w="5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8</w:t>
            </w:r>
          </w:p>
        </w:tc>
        <w:tc>
          <w:tcPr>
            <w:tcW w:type="dxa" w:w="21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Education and Distribution</w:t>
            </w:r>
          </w:p>
        </w:tc>
        <w:tc>
          <w:tcPr>
            <w:tcW w:type="dxa" w:w="67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NAMA Knowledge incorporates the new evidence into CME programs. FASL's Learning Passport recommends the relevant CME to physicians practicing in the affected area. Knowledge is actively distributed, not passively published.</w:t>
            </w:r>
          </w:p>
        </w:tc>
      </w:tr>
      <w:tr>
        <w:tc>
          <w:tcPr>
            <w:tcW w:type="dxa" w:w="5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9</w:t>
            </w:r>
          </w:p>
        </w:tc>
        <w:tc>
          <w:tcPr>
            <w:tcW w:type="dxa" w:w="21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Practice Change</w:t>
            </w:r>
          </w:p>
        </w:tc>
        <w:tc>
          <w:tcPr>
            <w:tcW w:type="dxa" w:w="67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Physicians in the Delivery Group, informed by updated FASL guidance and NAMA Knowledge CME, modify their clinical practice. The Delivery Group's HIS systems capture the resulting clinical outcomes.</w:t>
            </w:r>
          </w:p>
        </w:tc>
      </w:tr>
      <w:tr>
        <w:tc>
          <w:tcPr>
            <w:tcW w:type="dxa" w:w="5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10</w:t>
            </w:r>
          </w:p>
        </w:tc>
        <w:tc>
          <w:tcPr>
            <w:tcW w:type="dxa" w:w="21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Outcomes Validation</w:t>
            </w:r>
          </w:p>
        </w:tc>
        <w:tc>
          <w:tcPr>
            <w:tcW w:type="dxa" w:w="67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Delivery Group outcomes data flows back into the Knowledge Graph, providing real-world validation of the research finding. The Value Group incorporates the outcomes data into MGA risk models. The pipeline completes its cycle.</w:t>
            </w:r>
          </w:p>
        </w:tc>
      </w:tr>
    </w:tbl>
    <w:p>
      <w:pPr>
        <w:spacing w:after="0" w:before="200"/>
      </w:pPr>
      <w:r>
        <w:t xml:space="preserve"/>
      </w:r>
    </w:p>
    <w:p>
      <w:pPr>
        <w:pStyle w:val="Heading2"/>
      </w:pPr>
      <w:r>
        <w:t xml:space="preserve">VIII.2  The Innovation Acceleration Effect</w:t>
      </w:r>
    </w:p>
    <w:p>
      <w:pPr>
        <w:spacing w:after="140" w:before="60"/>
      </w:pPr>
      <w:r>
        <w:rPr>
          <w:color w:val="1A1A1A"/>
          <w:sz w:val="22"/>
          <w:szCs w:val="22"/>
        </w:rPr>
        <w:t xml:space="preserve">In a traditional healthcare system, the time from research question to practice change typically measures in decades. In Theeb Group's integrated pipeline, the target is months to 2–3 years, depending on the research required. This acceleration comes from eliminating structural delays:</w:t>
      </w:r>
    </w:p>
    <w:p>
      <w:pPr>
        <w:pStyle w:val="ListParagraph"/>
        <w:numPr>
          <w:ilvl w:val="0"/>
          <w:numId w:val="2"/>
        </w:numPr>
        <w:spacing w:after="50" w:before="50"/>
      </w:pPr>
      <w:r>
        <w:rPr>
          <w:color w:val="1A1A1A"/>
          <w:sz w:val="22"/>
          <w:szCs w:val="22"/>
        </w:rPr>
        <w:t xml:space="preserve">No gap between evidence gap detection and research initiation — FASL routes PICO questions directly to NAMA Medical</w:t>
      </w:r>
    </w:p>
    <w:p>
      <w:pPr>
        <w:pStyle w:val="ListParagraph"/>
        <w:numPr>
          <w:ilvl w:val="0"/>
          <w:numId w:val="2"/>
        </w:numPr>
        <w:spacing w:after="50" w:before="50"/>
      </w:pPr>
      <w:r>
        <w:rPr>
          <w:color w:val="1A1A1A"/>
          <w:sz w:val="22"/>
          <w:szCs w:val="22"/>
        </w:rPr>
        <w:t xml:space="preserve">No gap between trial completion and publication — Waraqa's medical writing SLA with NAMA Medical ensures rapid manuscript preparation</w:t>
      </w:r>
    </w:p>
    <w:p>
      <w:pPr>
        <w:pStyle w:val="ListParagraph"/>
        <w:numPr>
          <w:ilvl w:val="0"/>
          <w:numId w:val="2"/>
        </w:numPr>
        <w:spacing w:after="50" w:before="50"/>
      </w:pPr>
      <w:r>
        <w:rPr>
          <w:color w:val="1A1A1A"/>
          <w:sz w:val="22"/>
          <w:szCs w:val="22"/>
        </w:rPr>
        <w:t xml:space="preserve">No gap between publication and practice integration — FASL indexes new publications within 30 days; Learning Passport routes CME to affected physicians automatically</w:t>
      </w:r>
    </w:p>
    <w:p>
      <w:pPr>
        <w:pStyle w:val="ListParagraph"/>
        <w:numPr>
          <w:ilvl w:val="0"/>
          <w:numId w:val="2"/>
        </w:numPr>
        <w:spacing w:after="50" w:before="50"/>
      </w:pPr>
      <w:r>
        <w:rPr>
          <w:color w:val="1A1A1A"/>
          <w:sz w:val="22"/>
          <w:szCs w:val="22"/>
        </w:rPr>
        <w:t xml:space="preserve">No gap between practice change and outcomes measurement — Delivery Group HIS systems capture outcomes from Day 1 of any practice change</w:t>
      </w:r>
    </w:p>
    <w:p>
      <w:pPr>
        <w:spacing w:after="0" w:before="100"/>
      </w:pPr>
      <w:r>
        <w:t xml:space="preserve"/>
      </w:r>
    </w:p>
    <w:p>
      <w:pPr>
        <w:spacing w:after="140" w:before="60"/>
      </w:pPr>
      <w:r>
        <w:rPr>
          <w:color w:val="1A1A1A"/>
          <w:sz w:val="22"/>
          <w:szCs w:val="22"/>
        </w:rPr>
        <w:t xml:space="preserve">A clinical question asked by a Saudi physician today can generate published Saudi evidence that changes clinical practice across the Theeb network within 2–3 years. This is a structural advantage, built into the architecture — not a claim that requires anyone to trust the system.</w:t>
      </w:r>
    </w:p>
    <w:p>
      <w:pPr>
        <w:spacing w:after="0" w:before="2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40"/>
              <w:left w:type="dxa" w:w="360"/>
              <w:bottom w:type="dxa" w:w="40"/>
              <w:right w:type="dxa" w:w="360"/>
            </w:tcMar>
          </w:tcPr>
          <w:p>
            <w:pPr>
              <w:spacing w:after="60" w:before="0"/>
            </w:pPr>
            <w:r>
              <w:rPr>
                <w:b/>
                <w:bCs/>
                <w:caps/>
                <w:color w:val="2E75B6"/>
                <w:sz w:val="18"/>
                <w:szCs w:val="18"/>
              </w:rPr>
              <w:t xml:space="preserve">SECTION IX</w:t>
            </w:r>
          </w:p>
          <w:p>
            <w:pPr>
              <w:spacing w:after="80" w:before="0"/>
            </w:pPr>
            <w:r>
              <w:rPr>
                <w:b/>
                <w:bCs/>
                <w:color w:val="FFFFFF"/>
                <w:sz w:val="38"/>
                <w:szCs w:val="38"/>
              </w:rPr>
              <w:t xml:space="preserve">Future Expansion Pathways</w:t>
            </w:r>
          </w:p>
          <w:p>
            <w:pPr>
              <w:spacing w:after="180" w:before="0"/>
            </w:pPr>
            <w:r>
              <w:rPr>
                <w:i/>
                <w:iCs/>
                <w:color w:val="BDD7EE"/>
                <w:sz w:val="20"/>
                <w:szCs w:val="20"/>
              </w:rPr>
              <w:t xml:space="preserve">How the ecosystem grows without losing its structural integrity</w:t>
            </w:r>
          </w:p>
        </w:tc>
      </w:tr>
    </w:tbl>
    <w:p>
      <w:pPr>
        <w:spacing w:after="0" w:before="280"/>
      </w:pPr>
      <w:r>
        <w:t xml:space="preserve"/>
      </w:r>
    </w:p>
    <w:p>
      <w:pPr>
        <w:pStyle w:val="Heading2"/>
      </w:pPr>
      <w:r>
        <w:t xml:space="preserve">IX.1  The Expansion Philosophy</w:t>
      </w:r>
    </w:p>
    <w:p>
      <w:pPr>
        <w:spacing w:after="140" w:before="60"/>
      </w:pPr>
      <w:r>
        <w:rPr>
          <w:color w:val="1A1A1A"/>
          <w:sz w:val="22"/>
          <w:szCs w:val="22"/>
        </w:rPr>
        <w:t xml:space="preserve">Theeb Group's expansion philosophy is governed by a single principle: expansion must strengthen the flywheel, not dilute it. New entities, new geographies, and new capabilities are added only when they genuinely reinforce the knowledge–value–delivery cycle. An entity that generates revenue but does not contribute to the flywheel weakens the architecture by consuming management attention and capital without compounding the ecosystem's core assets.</w:t>
      </w:r>
    </w:p>
    <w:p>
      <w:pPr>
        <w:pStyle w:val="Heading2"/>
      </w:pPr>
      <w:r>
        <w:t xml:space="preserve">IX.2  Geographic Expansion Pathways</w:t>
      </w:r>
    </w:p>
    <w:p>
      <w:pPr>
        <w:spacing w:after="80" w:before="220"/>
      </w:pPr>
      <w:r>
        <w:rPr>
          <w:b/>
          <w:bCs/>
          <w:color w:val="1A2E4A"/>
          <w:sz w:val="24"/>
          <w:szCs w:val="24"/>
        </w:rPr>
        <w:t xml:space="preserve">Pathway A — GCC Expansion (2028–2032)</w:t>
      </w:r>
    </w:p>
    <w:p>
      <w:pPr>
        <w:spacing w:after="140" w:before="60"/>
      </w:pPr>
      <w:r>
        <w:rPr>
          <w:color w:val="1A1A1A"/>
          <w:sz w:val="22"/>
          <w:szCs w:val="22"/>
        </w:rPr>
        <w:t xml:space="preserve">The GCC represents the most natural first expansion market: shared language, regulatory familiarity, comparable disease burden, and significant government investment in healthcare transformation. Entry follows a consistent sequence: FASL enters first (lowest capital requirement, highest physician visibility). NAMA Knowledge follows (training need is universal; regulatory adaptation is manageable). The MGA infrastructure adapts to local insurance regulation. NAMA Medical enters last (highest regulatory burden; requires local accreditation equivalent to SFDA).</w:t>
      </w:r>
    </w:p>
    <w:p>
      <w:pPr>
        <w:spacing w:after="140" w:before="60"/>
      </w:pPr>
      <w:r>
        <w:rPr>
          <w:color w:val="1A1A1A"/>
          <w:sz w:val="22"/>
          <w:szCs w:val="22"/>
        </w:rPr>
        <w:t xml:space="preserve">Priority markets: UAE (largest private healthcare sector, highest physician density), Kuwait (high healthcare spending per capita), Qatar (government-driven healthcare transformation, vision alignment with Vision 2030 counterparts).</w:t>
      </w:r>
    </w:p>
    <w:p>
      <w:pPr>
        <w:spacing w:after="80" w:before="220"/>
      </w:pPr>
      <w:r>
        <w:rPr>
          <w:b/>
          <w:bCs/>
          <w:color w:val="1A2E4A"/>
          <w:sz w:val="24"/>
          <w:szCs w:val="24"/>
        </w:rPr>
        <w:t xml:space="preserve">Pathway B — MENA Expansion (2033–2040)</w:t>
      </w:r>
    </w:p>
    <w:p>
      <w:pPr>
        <w:spacing w:after="140" w:before="60"/>
      </w:pPr>
      <w:r>
        <w:rPr>
          <w:color w:val="1A1A1A"/>
          <w:sz w:val="22"/>
          <w:szCs w:val="22"/>
        </w:rPr>
        <w:t xml:space="preserve">The broader MENA region presents a larger but more complex opportunity. Egypt (largest Arabic-speaking physician population), Jordan (established medical education infrastructure), and North Africa represent significant long-term markets. Expansion focuses initially on FASL and NAMA Knowledge — the lightest-capital components with the broadest physician appeal — before introducing the research and value infrastructure.</w:t>
      </w:r>
    </w:p>
    <w:p>
      <w:pPr>
        <w:spacing w:after="80" w:before="220"/>
      </w:pPr>
      <w:r>
        <w:rPr>
          <w:b/>
          <w:bCs/>
          <w:color w:val="1A2E4A"/>
          <w:sz w:val="24"/>
          <w:szCs w:val="24"/>
        </w:rPr>
        <w:t xml:space="preserve">Pathway C — Global Infrastructure Licensing (2040+)</w:t>
      </w:r>
    </w:p>
    <w:p>
      <w:pPr>
        <w:spacing w:after="140" w:before="60"/>
      </w:pPr>
      <w:r>
        <w:rPr>
          <w:color w:val="1A1A1A"/>
          <w:sz w:val="22"/>
          <w:szCs w:val="22"/>
        </w:rPr>
        <w:t xml:space="preserve">The long-term global opportunity is not clinical operations but infrastructure licensing. Theeb Group's knowledge infrastructure model — clinical knowledge graph, AI-driven evidence delivery, adaptive education, MGA value architecture — is licensable to populations facing the same structural gap that Saudi Arabia faces today. Sub-Saharan Africa, South Asia, and Latin America are the primary long-term licensee markets.</w:t>
      </w:r>
    </w:p>
    <w:p>
      <w:pPr>
        <w:spacing w:after="0" w:before="140"/>
      </w:pPr>
      <w:r>
        <w:t xml:space="preserve"/>
      </w:r>
    </w:p>
    <w:p>
      <w:pPr>
        <w:pStyle w:val="Heading2"/>
      </w:pPr>
      <w:r>
        <w:t xml:space="preserve">IX.3  Sectoral Expansion Pathways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Expansion Sector</w:t>
            </w:r>
          </w:p>
        </w:tc>
        <w:tc>
          <w:tcPr>
            <w:tcW w:type="dxa" w:w="6760"/>
            <w:tcBorders>
              <w:top w:val="single" w:color="2E75B6" w:sz="1"/>
              <w:left w:val="single" w:color="2E75B6" w:sz="1"/>
              <w:bottom w:val="single" w:color="2E75B6" w:sz="1"/>
              <w:right w:val="single" w:color="2E75B6" w:sz="1"/>
            </w:tcBorders>
            <w:shd w:fill="1A2E4A" w:val="clear"/>
            <w:tcMar>
              <w:top w:type="dxa" w:w="100"/>
              <w:left w:type="dxa" w:w="140"/>
              <w:bottom w:type="dxa" w:w="100"/>
              <w:right w:type="dxa" w:w="140"/>
            </w:tcMar>
            <w:vAlign w:val="center"/>
          </w:tcPr>
          <w:p>
            <w:pPr>
              <w:jc w:val="center"/>
            </w:pPr>
            <w:r>
              <w:rPr>
                <w:b/>
                <w:bCs/>
                <w:color w:val="FFFFFF"/>
                <w:sz w:val="18"/>
                <w:szCs w:val="18"/>
              </w:rPr>
              <w:t xml:space="preserve">Rationale and Timing</w:t>
            </w:r>
          </w:p>
        </w:tc>
      </w:tr>
      <w:tr>
        <w:tc>
          <w:tcPr>
            <w:tcW w:type="dxa" w:w="26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Pharmaceutical Intelligence</w:t>
            </w:r>
          </w:p>
        </w:tc>
        <w:tc>
          <w:tcPr>
            <w:tcW w:type="dxa" w:w="67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As FASL's knowledge graph matures to millions of nodes with Saudi population data, the pharmaceutical industry's need for Saudi-specific real-world evidence creates a licensing opportunity. Pharma companies conducting trials or seeking SFDA approval would pay for access to Theeb Group's Saudi population evidence corpus. Timing: Year 5+.</w:t>
            </w:r>
          </w:p>
        </w:tc>
      </w:tr>
      <w:tr>
        <w:tc>
          <w:tcPr>
            <w:tcW w:type="dxa" w:w="26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Population Health Management</w:t>
            </w:r>
          </w:p>
        </w:tc>
        <w:tc>
          <w:tcPr>
            <w:tcW w:type="dxa" w:w="67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The combination of the MGA model, Delivery Group outcomes data, and FASL's disease prevalence intelligence creates a population health management capability that national health authorities need. Ministry of Health contracts for chronic disease management at scale (T2DM, hypertension, obesity). Timing: Year 4+.</w:t>
            </w:r>
          </w:p>
        </w:tc>
      </w:tr>
      <w:tr>
        <w:tc>
          <w:tcPr>
            <w:tcW w:type="dxa" w:w="26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Medical Device Evaluation</w:t>
            </w:r>
          </w:p>
        </w:tc>
        <w:tc>
          <w:tcPr>
            <w:tcW w:type="dxa" w:w="67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Saudi-specific device performance data is as absent as drug data. An extension of NAMA Medical's capabilities into medical device evaluation studies creates a new evidence category for FASL and a new revenue line aligned with Vision 2030's device localization agenda. Timing: Year 5+.</w:t>
            </w:r>
          </w:p>
        </w:tc>
      </w:tr>
      <w:tr>
        <w:tc>
          <w:tcPr>
            <w:tcW w:type="dxa" w:w="260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Health Economics and Outcomes Research</w:t>
            </w:r>
          </w:p>
        </w:tc>
        <w:tc>
          <w:tcPr>
            <w:tcW w:type="dxa" w:w="6760"/>
            <w:tcBorders>
              <w:top w:val="single" w:color="D0D9E3" w:sz="1"/>
              <w:left w:val="single" w:color="D0D9E3" w:sz="1"/>
              <w:bottom w:val="single" w:color="D0D9E3" w:sz="1"/>
              <w:right w:val="single" w:color="D0D9E3" w:sz="1"/>
            </w:tcBorders>
            <w:shd w:fill="F7F9FC" w:val="clear"/>
            <w:tcMar>
              <w:top w:type="dxa" w:w="90"/>
              <w:left w:type="dxa" w:w="140"/>
              <w:bottom w:type="dxa" w:w="90"/>
              <w:right w:type="dxa" w:w="140"/>
            </w:tcMar>
          </w:tcPr>
          <w:p>
            <w:r>
              <w:rPr>
                <w:color w:val="1A1A1A"/>
                <w:sz w:val="20"/>
                <w:szCs w:val="20"/>
              </w:rPr>
              <w:t xml:space="preserve">A formal HEOR capability — building on NAMA Medical's biostatistics, Waraqa's systematic review expertise, and the Value Group's claims data — positions Theeb Group as the reference institution for healthcare economic analysis in Saudi Arabia. Timing: Year 4+.</w:t>
            </w:r>
          </w:p>
        </w:tc>
      </w:tr>
      <w:tr>
        <w:tc>
          <w:tcPr>
            <w:tcW w:type="dxa" w:w="260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Genomics and Precision Medicine</w:t>
            </w:r>
          </w:p>
        </w:tc>
        <w:tc>
          <w:tcPr>
            <w:tcW w:type="dxa" w:w="6760"/>
            <w:tcBorders>
              <w:top w:val="single" w:color="D0D9E3" w:sz="1"/>
              <w:left w:val="single" w:color="D0D9E3" w:sz="1"/>
              <w:bottom w:val="single" w:color="D0D9E3" w:sz="1"/>
              <w:right w:val="single" w:color="D0D9E3" w:sz="1"/>
            </w:tcBorders>
            <w:shd w:fill="FFFFFF" w:val="clear"/>
            <w:tcMar>
              <w:top w:type="dxa" w:w="90"/>
              <w:left w:type="dxa" w:w="140"/>
              <w:bottom w:type="dxa" w:w="90"/>
              <w:right w:type="dxa" w:w="140"/>
            </w:tcMar>
          </w:tcPr>
          <w:p>
            <w:r>
              <w:rPr>
                <w:color w:val="1A1A1A"/>
                <w:sz w:val="20"/>
                <w:szCs w:val="20"/>
              </w:rPr>
              <w:t xml:space="preserve">Saudi Arabia's genetically distinct population represents a major opportunity for population genomics research. A long-term extension of NAMA Bio's capabilities into pharmacogenomics — understanding how Saudi genetic variants affect drug response — would make FASL's clinical guidance uniquely accurate for Arab patients. Timing: Year 7+.</w:t>
            </w:r>
          </w:p>
        </w:tc>
      </w:tr>
    </w:tbl>
    <w:p>
      <w:pPr>
        <w:spacing w:after="0" w:before="200"/>
      </w:pPr>
      <w:r>
        <w:t xml:space="preserve"/>
      </w:r>
    </w:p>
    <w:p>
      <w:pPr>
        <w:pStyle w:val="Heading2"/>
      </w:pPr>
      <w:r>
        <w:t xml:space="preserve">IX.4  Technology Evolution Pathways</w:t>
      </w:r>
    </w:p>
    <w:p>
      <w:pPr>
        <w:spacing w:after="140" w:before="60"/>
      </w:pPr>
      <w:r>
        <w:rPr>
          <w:color w:val="1A1A1A"/>
          <w:sz w:val="22"/>
          <w:szCs w:val="22"/>
        </w:rPr>
        <w:t xml:space="preserve">FASL must evolve continuously without losing its core value proposition: clinically trustworthy, evidence-grounded, Arabic-first, sovereign. The technology evolution must serve the mission; the mission must never be distorted to serve the technology.</w:t>
      </w:r>
    </w:p>
    <w:p>
      <w:pPr>
        <w:spacing w:after="80" w:before="220"/>
      </w:pPr>
      <w:r>
        <w:rPr>
          <w:b/>
          <w:bCs/>
          <w:color w:val="1A2E4A"/>
          <w:sz w:val="24"/>
          <w:szCs w:val="24"/>
        </w:rPr>
        <w:t xml:space="preserve">Near-Term (2025–2028)</w:t>
      </w:r>
    </w:p>
    <w:p>
      <w:pPr>
        <w:pStyle w:val="ListParagraph"/>
        <w:numPr>
          <w:ilvl w:val="0"/>
          <w:numId w:val="2"/>
        </w:numPr>
        <w:spacing w:after="50" w:before="50"/>
      </w:pPr>
      <w:r>
        <w:rPr>
          <w:color w:val="1A1A1A"/>
          <w:sz w:val="22"/>
          <w:szCs w:val="22"/>
        </w:rPr>
        <w:t xml:space="preserve">Arabic clinical NLP maturation — becoming the most capable Arabic medical language model, trained on the largest Saudi clinical text corpus</w:t>
      </w:r>
    </w:p>
    <w:p>
      <w:pPr>
        <w:pStyle w:val="ListParagraph"/>
        <w:numPr>
          <w:ilvl w:val="0"/>
          <w:numId w:val="2"/>
        </w:numPr>
        <w:spacing w:after="50" w:before="50"/>
      </w:pPr>
      <w:r>
        <w:rPr>
          <w:color w:val="1A1A1A"/>
          <w:sz w:val="22"/>
          <w:szCs w:val="22"/>
        </w:rPr>
        <w:t xml:space="preserve">FHIR R4 hospital integration — connecting FASL directly to EMR systems, enabling real-time clinical decision support at the point of documentation</w:t>
      </w:r>
    </w:p>
    <w:p>
      <w:pPr>
        <w:pStyle w:val="ListParagraph"/>
        <w:numPr>
          <w:ilvl w:val="0"/>
          <w:numId w:val="2"/>
        </w:numPr>
        <w:spacing w:after="50" w:before="50"/>
      </w:pPr>
      <w:r>
        <w:rPr>
          <w:color w:val="1A1A1A"/>
          <w:sz w:val="22"/>
          <w:szCs w:val="22"/>
        </w:rPr>
        <w:t xml:space="preserve">CHI/Nafis integration — embedding FASL's MNC decision engine into national insurance pre-authorization infrastructure</w:t>
      </w:r>
    </w:p>
    <w:p>
      <w:pPr>
        <w:pStyle w:val="ListParagraph"/>
        <w:numPr>
          <w:ilvl w:val="0"/>
          <w:numId w:val="2"/>
        </w:numPr>
        <w:spacing w:after="50" w:before="50"/>
      </w:pPr>
      <w:r>
        <w:rPr>
          <w:color w:val="1A1A1A"/>
          <w:sz w:val="22"/>
          <w:szCs w:val="22"/>
        </w:rPr>
        <w:t xml:space="preserve">Mobile-first clinical workflow optimization for Saudi physicians' actual practice environment</w:t>
      </w:r>
    </w:p>
    <w:p>
      <w:pPr>
        <w:spacing w:after="80" w:before="220"/>
      </w:pPr>
      <w:r>
        <w:rPr>
          <w:b/>
          <w:bCs/>
          <w:color w:val="1A2E4A"/>
          <w:sz w:val="24"/>
          <w:szCs w:val="24"/>
        </w:rPr>
        <w:t xml:space="preserve">Medium-Term (2028–2035)</w:t>
      </w:r>
    </w:p>
    <w:p>
      <w:pPr>
        <w:pStyle w:val="ListParagraph"/>
        <w:numPr>
          <w:ilvl w:val="0"/>
          <w:numId w:val="2"/>
        </w:numPr>
        <w:spacing w:after="50" w:before="50"/>
      </w:pPr>
      <w:r>
        <w:rPr>
          <w:color w:val="1A1A1A"/>
          <w:sz w:val="22"/>
          <w:szCs w:val="22"/>
        </w:rPr>
        <w:t xml:space="preserve">Federated learning infrastructure — enabling model improvement from Delivery Group patient data without centralizing patient records</w:t>
      </w:r>
    </w:p>
    <w:p>
      <w:pPr>
        <w:pStyle w:val="ListParagraph"/>
        <w:numPr>
          <w:ilvl w:val="0"/>
          <w:numId w:val="2"/>
        </w:numPr>
        <w:spacing w:after="50" w:before="50"/>
      </w:pPr>
      <w:r>
        <w:rPr>
          <w:color w:val="1A1A1A"/>
          <w:sz w:val="22"/>
          <w:szCs w:val="22"/>
        </w:rPr>
        <w:t xml:space="preserve">Predictive population health — using the knowledge graph and Delivery Group outcomes data to predict disease trajectories at the population level</w:t>
      </w:r>
    </w:p>
    <w:p>
      <w:pPr>
        <w:pStyle w:val="ListParagraph"/>
        <w:numPr>
          <w:ilvl w:val="0"/>
          <w:numId w:val="2"/>
        </w:numPr>
        <w:spacing w:after="50" w:before="50"/>
      </w:pPr>
      <w:r>
        <w:rPr>
          <w:color w:val="1A1A1A"/>
          <w:sz w:val="22"/>
          <w:szCs w:val="22"/>
        </w:rPr>
        <w:t xml:space="preserve">International data federation — connecting FASL's knowledge graph to international research networks while maintaining Saudi data sovereignty</w:t>
      </w:r>
    </w:p>
    <w:p>
      <w:pPr>
        <w:spacing w:after="80" w:before="220"/>
      </w:pPr>
      <w:r>
        <w:rPr>
          <w:b/>
          <w:bCs/>
          <w:color w:val="1A2E4A"/>
          <w:sz w:val="24"/>
          <w:szCs w:val="24"/>
        </w:rPr>
        <w:t xml:space="preserve">Long-Term (2035+)</w:t>
      </w:r>
    </w:p>
    <w:p>
      <w:pPr>
        <w:pStyle w:val="ListParagraph"/>
        <w:numPr>
          <w:ilvl w:val="0"/>
          <w:numId w:val="2"/>
        </w:numPr>
        <w:spacing w:after="50" w:before="50"/>
      </w:pPr>
      <w:r>
        <w:rPr>
          <w:color w:val="1A1A1A"/>
          <w:sz w:val="22"/>
          <w:szCs w:val="22"/>
        </w:rPr>
        <w:t xml:space="preserve">Autonomous evidence synthesis — AI systems capable of continuously updating clinical guidelines based on new evidence</w:t>
      </w:r>
    </w:p>
    <w:p>
      <w:pPr>
        <w:pStyle w:val="ListParagraph"/>
        <w:numPr>
          <w:ilvl w:val="0"/>
          <w:numId w:val="2"/>
        </w:numPr>
        <w:spacing w:after="50" w:before="50"/>
      </w:pPr>
      <w:r>
        <w:rPr>
          <w:color w:val="1A1A1A"/>
          <w:sz w:val="22"/>
          <w:szCs w:val="22"/>
        </w:rPr>
        <w:t xml:space="preserve">Precision medicine decision support — individualized treatment recommendations based on patient genetic profile, population pharmacokinetics, and local disease data</w:t>
      </w:r>
    </w:p>
    <w:p>
      <w:pPr>
        <w:pStyle w:val="ListParagraph"/>
        <w:numPr>
          <w:ilvl w:val="0"/>
          <w:numId w:val="2"/>
        </w:numPr>
        <w:spacing w:after="50" w:before="50"/>
      </w:pPr>
      <w:r>
        <w:rPr>
          <w:color w:val="1A1A1A"/>
          <w:sz w:val="22"/>
          <w:szCs w:val="22"/>
        </w:rPr>
        <w:t xml:space="preserve">Global clinical knowledge network — FASL as a node in a federated international network of sovereign clinical knowledge platforms</w:t>
      </w:r>
    </w:p>
    <w:p>
      <w:pPr>
        <w:spacing w:after="0" w:before="2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40"/>
              <w:left w:type="dxa" w:w="360"/>
              <w:bottom w:type="dxa" w:w="40"/>
              <w:right w:type="dxa" w:w="360"/>
            </w:tcMar>
          </w:tcPr>
          <w:p>
            <w:pPr>
              <w:spacing w:after="60" w:before="0"/>
            </w:pPr>
            <w:r>
              <w:rPr>
                <w:b/>
                <w:bCs/>
                <w:caps/>
                <w:color w:val="2E75B6"/>
                <w:sz w:val="18"/>
                <w:szCs w:val="18"/>
              </w:rPr>
              <w:t xml:space="preserve">CLOSING</w:t>
            </w:r>
          </w:p>
          <w:p>
            <w:pPr>
              <w:spacing w:after="80" w:before="0"/>
            </w:pPr>
            <w:r>
              <w:rPr>
                <w:b/>
                <w:bCs/>
                <w:color w:val="FFFFFF"/>
                <w:sz w:val="38"/>
                <w:szCs w:val="38"/>
              </w:rPr>
              <w:t xml:space="preserve">An Institutional Commitment</w:t>
            </w:r>
          </w:p>
          <w:p>
            <w:pPr>
              <w:spacing w:after="180" w:before="0"/>
            </w:pPr>
            <w:r>
              <w:rPr>
                <w:i/>
                <w:iCs/>
                <w:color w:val="BDD7EE"/>
                <w:sz w:val="20"/>
                <w:szCs w:val="20"/>
              </w:rPr>
              <w:t xml:space="preserve">What this architecture means in practice</w:t>
            </w:r>
          </w:p>
        </w:tc>
      </w:tr>
    </w:tbl>
    <w:p>
      <w:pPr>
        <w:spacing w:after="0" w:before="280"/>
      </w:pPr>
      <w:r>
        <w:t xml:space="preserve"/>
      </w:r>
    </w:p>
    <w:p>
      <w:pPr>
        <w:spacing w:after="140" w:before="60"/>
      </w:pPr>
      <w:r>
        <w:rPr>
          <w:color w:val="1A1A1A"/>
          <w:sz w:val="22"/>
          <w:szCs w:val="22"/>
        </w:rPr>
        <w:t xml:space="preserve">This document has described the architecture of Theeb Group. But architecture is not enough.</w:t>
      </w:r>
    </w:p>
    <w:p>
      <w:pPr>
        <w:spacing w:after="140" w:before="60"/>
      </w:pPr>
      <w:r>
        <w:rPr>
          <w:color w:val="1A1A1A"/>
          <w:sz w:val="22"/>
          <w:szCs w:val="22"/>
        </w:rPr>
        <w:t xml:space="preserve">Institutions endure not because of the brilliance of their founding architecture, but because of the sustained commitment of every generation of leadership to the principles that architecture embodies. The knowledge flywheel turns not because of a document — it turns because every physician trained, every trial executed, every paper published, every value contract structured, and every care encounter delivered is performed in alignment with the principles described here.</w:t>
      </w:r>
    </w:p>
    <w:p>
      <w:pPr>
        <w:spacing w:after="140" w:before="60"/>
      </w:pPr>
      <w:r>
        <w:rPr>
          <w:color w:val="1A1A1A"/>
          <w:sz w:val="22"/>
          <w:szCs w:val="22"/>
        </w:rPr>
        <w:t xml:space="preserve">The three commitments that every leader in the Theeb Group ecosystem must hold: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60"/>
              <w:left w:type="dxa" w:w="360"/>
              <w:bottom w:type="dxa" w:w="260"/>
              <w:right w:type="dxa" w:w="360"/>
            </w:tcMar>
          </w:tcPr>
          <w:p>
            <w:pPr>
              <w:spacing w:after="80" w:before="0"/>
            </w:pPr>
            <w:r>
              <w:rPr>
                <w:b/>
                <w:bCs/>
                <w:color w:val="EBF2FA"/>
                <w:sz w:val="24"/>
                <w:szCs w:val="24"/>
              </w:rPr>
              <w:t xml:space="preserve">I.  INTEGRITY OF KNOWLEDGE</w:t>
            </w:r>
          </w:p>
          <w:p>
            <w:pPr>
              <w:spacing w:after="220" w:before="0"/>
            </w:pPr>
            <w:r>
              <w:rPr>
                <w:color w:val="FFFFFF"/>
                <w:sz w:val="21"/>
                <w:szCs w:val="21"/>
              </w:rPr>
              <w:t xml:space="preserve">The evidence we generate, publish, and distribute must be trustworthy. Commercial pressure never overrides scientific integrity. The physician who relies on FASL's evidence to make a clinical decision must be able to trust that the evidence has been generated, reviewed, and presented without distortion.</w:t>
            </w:r>
          </w:p>
          <w:p>
            <w:pPr>
              <w:spacing w:after="80" w:before="0"/>
            </w:pPr>
            <w:r>
              <w:rPr>
                <w:b/>
                <w:bCs/>
                <w:color w:val="EBF2FA"/>
                <w:sz w:val="24"/>
                <w:szCs w:val="24"/>
              </w:rPr>
              <w:t xml:space="preserve">II.  ALIGNMENT OF INCENTIVES</w:t>
            </w:r>
          </w:p>
          <w:p>
            <w:pPr>
              <w:spacing w:after="220" w:before="0"/>
            </w:pPr>
            <w:r>
              <w:rPr>
                <w:color w:val="FFFFFF"/>
                <w:sz w:val="21"/>
                <w:szCs w:val="21"/>
              </w:rPr>
              <w:t xml:space="preserve">The economic architecture of the ecosystem must reward the right behaviors. Value-based contracts must genuinely align clinical and financial incentives. Physician co-clinic models must create genuine shared interest. The MGA must make care better, not just cheaper. Incentives that are misaligned will eventually corrupt the clinical culture the ecosystem requires.</w:t>
            </w:r>
          </w:p>
          <w:p>
            <w:pPr>
              <w:spacing w:after="80" w:before="0"/>
            </w:pPr>
            <w:r>
              <w:rPr>
                <w:b/>
                <w:bCs/>
                <w:color w:val="EBF2FA"/>
                <w:sz w:val="24"/>
                <w:szCs w:val="24"/>
              </w:rPr>
              <w:t xml:space="preserve">III.  PATIENCE OF INFRASTRUCTURE</w:t>
            </w:r>
          </w:p>
          <w:p>
            <w:pPr>
              <w:spacing w:after="0" w:before="0"/>
            </w:pPr>
            <w:r>
              <w:rPr>
                <w:color w:val="FFFFFF"/>
                <w:sz w:val="21"/>
                <w:szCs w:val="21"/>
              </w:rPr>
              <w:t xml:space="preserve">The most valuable assets in this ecosystem take years and decades to build. The knowledge graph, the physician network, the regulatory trust, the clinical evidence corpus — these are not optimized by quarterly thinking. Every decision that trades long-term infrastructure value for short-term revenue optimization weakens the architecture. The commitment to think in decades must be renewed in every leadership cycle.</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2E4A"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BF2FA" w:val="clear"/>
            <w:tcMar>
              <w:top w:type="dxa" w:w="160"/>
              <w:left w:type="dxa" w:w="220"/>
              <w:bottom w:type="dxa" w:w="160"/>
              <w:right w:type="dxa" w:w="220"/>
            </w:tcMar>
          </w:tcPr>
          <w:p>
            <w:pPr>
              <w:spacing w:after="0" w:before="0"/>
            </w:pPr>
            <w:r>
              <w:rPr>
                <w:i/>
                <w:iCs/>
                <w:color w:val="1A2E4A"/>
                <w:sz w:val="22"/>
                <w:szCs w:val="22"/>
              </w:rPr>
              <w:t xml:space="preserve">We are not building a company. We are building the infrastructure through which the Arab world will produce, organize, and use the medical knowledge that defines the quality of healthcare for future generations. That is worth building right.</w:t>
            </w:r>
          </w:p>
        </w:tc>
      </w:tr>
    </w:tbl>
    <w:p>
      <w:pPr>
        <w:spacing w:after="0" w:before="280"/>
      </w:pPr>
      <w:r>
        <w:t xml:space="preserve"/>
      </w:r>
    </w:p>
    <w:p>
      <w:pPr>
        <w:pBdr>
          <w:bottom w:val="single" w:color="2E75B6" w:sz="8" w:space="1"/>
        </w:pBdr>
        <w:spacing w:after="120" w:before="120"/>
      </w:pPr>
    </w:p>
    <w:p>
      <w:pPr>
        <w:spacing w:after="0" w:before="120"/>
      </w:pPr>
      <w:r>
        <w:t xml:space="preserve"/>
      </w:r>
    </w:p>
    <w:p>
      <w:pPr>
        <w:spacing w:after="60" w:before="0"/>
        <w:jc w:val="center"/>
      </w:pPr>
      <w:r>
        <w:rPr>
          <w:color w:val="888888"/>
          <w:sz w:val="16"/>
          <w:szCs w:val="16"/>
        </w:rPr>
        <w:t xml:space="preserve">THEEB GROUP  —  MASTER ARCHITECTURE DOCUMENT</w:t>
      </w:r>
    </w:p>
    <w:p>
      <w:pPr>
        <w:spacing w:after="0" w:before="0"/>
        <w:jc w:val="center"/>
      </w:pPr>
      <w:r>
        <w:rPr>
          <w:color w:val="AAAAAA"/>
          <w:sz w:val="14"/>
          <w:szCs w:val="14"/>
        </w:rPr>
        <w:t xml:space="preserve">Version 1.0  |  March 2026  |  Confidential — Founder &amp; Executive Leadership</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3" w:sz="4" w:space="1"/>
      </w:pBdr>
      <w:spacing w:after="0" w:before="160"/>
    </w:pPr>
    <w:r>
      <w:rPr>
        <w:color w:val="888888"/>
        <w:sz w:val="16"/>
        <w:szCs w:val="16"/>
      </w:rPr>
      <w:t xml:space="preserve">Confidential — Founder &amp; Executive Leadership  |  Version 1.0  |  March 2026    Page </w:t>
    </w:r>
    <w:r>
      <w:rPr>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3" w:sz="4" w:space="1"/>
      </w:pBdr>
      <w:spacing w:after="0" w:before="160"/>
    </w:pPr>
    <w:r>
      <w:rPr>
        <w:color w:val="888888"/>
        <w:sz w:val="16"/>
        <w:szCs w:val="16"/>
      </w:rPr>
      <w:t xml:space="preserve">Confidential — Founder &amp; Executive Leadership  |  Version 1.0  |  March 2026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80" w:before="0"/>
    </w:pPr>
    <w:r>
      <w:rPr>
        <w:color w:val="888888"/>
        <w:sz w:val="16"/>
        <w:szCs w:val="16"/>
      </w:rPr>
      <w:t xml:space="preserve">THEEB GROUP  —  MASTER ARCHITECTURE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80" w:before="0"/>
    </w:pPr>
    <w:r>
      <w:rPr>
        <w:color w:val="888888"/>
        <w:sz w:val="16"/>
        <w:szCs w:val="16"/>
      </w:rPr>
      <w:t xml:space="preserve">THEEB GROUP  —  MASTER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Arial" w:cs="Arial" w:eastAsia="Arial" w:hAnsi="Arial"/>
      <w:b/>
      <w:bCs/>
      <w:color w:val="1A2E4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2E4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2026-03-13T01:44:14.642Z</dcterms:created>
  <dcterms:modified xsi:type="dcterms:W3CDTF">2026-03-13T01:44:14.644Z</dcterms:modified>
</cp:coreProperties>
</file>

<file path=docProps/custom.xml><?xml version="1.0" encoding="utf-8"?>
<Properties xmlns="http://schemas.openxmlformats.org/officeDocument/2006/custom-properties" xmlns:vt="http://schemas.openxmlformats.org/officeDocument/2006/docPropsVTypes"/>
</file>