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9B333" w14:textId="77777777" w:rsidR="00732B63" w:rsidRDefault="00732B63">
      <w:pPr>
        <w:spacing w:before="240" w:after="240"/>
        <w:divId w:val="2049255192"/>
        <w:rPr>
          <w:rFonts w:ascii="Segoe UI" w:eastAsia="Times New Roman" w:hAnsi="Segoe UI" w:cs="Segoe UI"/>
        </w:rPr>
      </w:pPr>
      <w:r>
        <w:rPr>
          <w:rFonts w:ascii="Segoe UI" w:eastAsia="Times New Roman" w:hAnsi="Segoe UI" w:cs="Segoe UI"/>
          <w:noProof/>
        </w:rPr>
        <mc:AlternateContent>
          <mc:Choice Requires="wps">
            <w:drawing>
              <wp:inline distT="0" distB="0" distL="0" distR="0" wp14:anchorId="6BAFB8DE" wp14:editId="4F540D31">
                <wp:extent cx="5731510" cy="4445"/>
                <wp:effectExtent l="0" t="31750" r="0" b="36830"/>
                <wp:docPr id="62237937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59258B" id="Rectangle 1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634C6CCA" w14:textId="77777777" w:rsidR="00732B63" w:rsidRDefault="00732B63">
      <w:pPr>
        <w:pStyle w:val="Heading1"/>
        <w:pBdr>
          <w:top w:val="single" w:sz="2" w:space="0" w:color="E5E7EB"/>
          <w:left w:val="single" w:sz="2" w:space="0" w:color="E5E7EB"/>
          <w:bottom w:val="single" w:sz="2" w:space="0" w:color="E5E7EB"/>
          <w:right w:val="single" w:sz="2" w:space="0" w:color="E5E7EB"/>
        </w:pBdr>
        <w:spacing w:line="360" w:lineRule="atLeast"/>
        <w:divId w:val="2049255192"/>
        <w:rPr>
          <w:rFonts w:ascii="Segoe UI" w:eastAsia="Times New Roman" w:hAnsi="Segoe UI" w:cs="Segoe UI"/>
        </w:rPr>
      </w:pPr>
      <w:r>
        <w:rPr>
          <w:rFonts w:ascii="Segoe UI" w:eastAsia="Times New Roman" w:hAnsi="Segoe UI" w:cs="Segoe UI"/>
        </w:rPr>
        <w:t>Implementing Publicly Reported Outcomes in Saudi Arabia: Feasibility, Roadmap, and Strategic Considerations</w:t>
      </w:r>
    </w:p>
    <w:p w14:paraId="05F6633E" w14:textId="77777777" w:rsidR="00732B63" w:rsidRDefault="00732B63">
      <w:pPr>
        <w:pStyle w:val="Heading2"/>
        <w:pBdr>
          <w:top w:val="single" w:sz="2" w:space="0" w:color="E5E7EB"/>
          <w:left w:val="single" w:sz="2" w:space="0" w:color="E5E7EB"/>
          <w:bottom w:val="single" w:sz="2" w:space="0" w:color="E5E7EB"/>
          <w:right w:val="single" w:sz="2" w:space="0" w:color="E5E7EB"/>
        </w:pBdr>
        <w:divId w:val="2049255192"/>
        <w:rPr>
          <w:rFonts w:ascii="fkGrotesk Fallback" w:eastAsia="Times New Roman" w:hAnsi="fkGrotesk Fallback" w:cs="Segoe UI"/>
        </w:rPr>
      </w:pPr>
      <w:r>
        <w:rPr>
          <w:rFonts w:ascii="fkGrotesk Fallback" w:eastAsia="Times New Roman" w:hAnsi="fkGrotesk Fallback" w:cs="Segoe UI"/>
        </w:rPr>
        <w:t>Abstract</w:t>
      </w:r>
    </w:p>
    <w:p w14:paraId="1433004A" w14:textId="3064E30D" w:rsidR="003C23F9"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Background:</w:t>
      </w:r>
      <w:r>
        <w:rPr>
          <w:rFonts w:ascii="Segoe UI" w:hAnsi="Segoe UI" w:cs="Segoe UI"/>
        </w:rPr>
        <w:t> Patient-Reported Outcome Measures (PROMs) are increasingly recognized as essential for advancing transparency, accountability, and patient-</w:t>
      </w:r>
      <w:proofErr w:type="spellStart"/>
      <w:r>
        <w:rPr>
          <w:rFonts w:ascii="Segoe UI" w:hAnsi="Segoe UI" w:cs="Segoe UI"/>
        </w:rPr>
        <w:t>centered</w:t>
      </w:r>
      <w:proofErr w:type="spellEnd"/>
      <w:r>
        <w:rPr>
          <w:rFonts w:ascii="Segoe UI" w:hAnsi="Segoe UI" w:cs="Segoe UI"/>
        </w:rPr>
        <w:t xml:space="preserve"> care. </w:t>
      </w:r>
      <w:r w:rsidR="0044219D">
        <w:rPr>
          <w:rFonts w:ascii="Segoe UI" w:hAnsi="Segoe UI" w:cs="Segoe UI"/>
        </w:rPr>
        <w:t>Following it’s feasibility study, th</w:t>
      </w:r>
      <w:r w:rsidR="00374530">
        <w:rPr>
          <w:rFonts w:ascii="Segoe UI" w:hAnsi="Segoe UI" w:cs="Segoe UI"/>
        </w:rPr>
        <w:t xml:space="preserve">e </w:t>
      </w:r>
      <w:r>
        <w:rPr>
          <w:rFonts w:ascii="Segoe UI" w:hAnsi="Segoe UI" w:cs="Segoe UI"/>
        </w:rPr>
        <w:t>Saudi Arabia’s Council of Health Insurance (CHI)</w:t>
      </w:r>
      <w:r w:rsidR="0044219D">
        <w:rPr>
          <w:rFonts w:ascii="Segoe UI" w:hAnsi="Segoe UI" w:cs="Segoe UI"/>
        </w:rPr>
        <w:t xml:space="preserve"> believes </w:t>
      </w:r>
      <w:r w:rsidR="00A4762D">
        <w:rPr>
          <w:rFonts w:ascii="Segoe UI" w:hAnsi="Segoe UI" w:cs="Segoe UI"/>
        </w:rPr>
        <w:t>the countr</w:t>
      </w:r>
      <w:r w:rsidR="0044219D">
        <w:rPr>
          <w:rFonts w:ascii="Segoe UI" w:hAnsi="Segoe UI" w:cs="Segoe UI"/>
        </w:rPr>
        <w:t>y is</w:t>
      </w:r>
      <w:r w:rsidR="0036281A">
        <w:rPr>
          <w:rFonts w:ascii="Segoe UI" w:hAnsi="Segoe UI" w:cs="Segoe UI"/>
        </w:rPr>
        <w:t xml:space="preserve"> ready</w:t>
      </w:r>
      <w:r w:rsidR="00A4762D">
        <w:rPr>
          <w:rFonts w:ascii="Segoe UI" w:hAnsi="Segoe UI" w:cs="Segoe UI"/>
        </w:rPr>
        <w:t xml:space="preserve"> to adopt </w:t>
      </w:r>
      <w:r>
        <w:rPr>
          <w:rFonts w:ascii="Segoe UI" w:hAnsi="Segoe UI" w:cs="Segoe UI"/>
        </w:rPr>
        <w:t>the</w:t>
      </w:r>
      <w:r w:rsidR="00EB30BD">
        <w:rPr>
          <w:rFonts w:ascii="Segoe UI" w:hAnsi="Segoe UI" w:cs="Segoe UI"/>
        </w:rPr>
        <w:t xml:space="preserve">se </w:t>
      </w:r>
      <w:r w:rsidR="002D1898">
        <w:rPr>
          <w:rFonts w:ascii="Segoe UI" w:hAnsi="Segoe UI" w:cs="Segoe UI"/>
        </w:rPr>
        <w:t xml:space="preserve">measures of value-based patient care </w:t>
      </w:r>
      <w:r w:rsidR="005E033F">
        <w:rPr>
          <w:rFonts w:ascii="Segoe UI" w:hAnsi="Segoe UI" w:cs="Segoe UI"/>
        </w:rPr>
        <w:t xml:space="preserve">as part of its </w:t>
      </w:r>
      <w:r w:rsidR="004478B2">
        <w:rPr>
          <w:rFonts w:ascii="Segoe UI" w:hAnsi="Segoe UI" w:cs="Segoe UI"/>
        </w:rPr>
        <w:t>health system modernization.</w:t>
      </w:r>
      <w:r>
        <w:rPr>
          <w:rFonts w:ascii="Segoe UI" w:hAnsi="Segoe UI" w:cs="Segoe UI"/>
        </w:rPr>
        <w:br/>
      </w:r>
      <w:r w:rsidR="00A278AD">
        <w:rPr>
          <w:rStyle w:val="Strong"/>
          <w:rFonts w:ascii="Segoe UI" w:hAnsi="Segoe UI" w:cs="Segoe UI"/>
          <w:bdr w:val="single" w:sz="2" w:space="0" w:color="E5E7EB" w:frame="1"/>
        </w:rPr>
        <w:t>Methodology</w:t>
      </w:r>
      <w:r>
        <w:rPr>
          <w:rStyle w:val="Strong"/>
          <w:rFonts w:ascii="Segoe UI" w:hAnsi="Segoe UI" w:cs="Segoe UI"/>
          <w:bdr w:val="single" w:sz="2" w:space="0" w:color="E5E7EB" w:frame="1"/>
        </w:rPr>
        <w:t>:</w:t>
      </w:r>
      <w:r w:rsidR="00022468">
        <w:rPr>
          <w:rFonts w:ascii="Segoe UI" w:hAnsi="Segoe UI" w:cs="Segoe UI"/>
        </w:rPr>
        <w:t xml:space="preserve"> The principle source available </w:t>
      </w:r>
      <w:r w:rsidR="009E1743">
        <w:rPr>
          <w:rFonts w:ascii="Segoe UI" w:hAnsi="Segoe UI" w:cs="Segoe UI"/>
        </w:rPr>
        <w:t>was</w:t>
      </w:r>
      <w:r w:rsidR="00797923">
        <w:rPr>
          <w:rFonts w:ascii="Segoe UI" w:hAnsi="Segoe UI" w:cs="Segoe UI"/>
        </w:rPr>
        <w:t xml:space="preserve"> t</w:t>
      </w:r>
      <w:r w:rsidR="00D24F9E">
        <w:rPr>
          <w:rFonts w:ascii="Segoe UI" w:hAnsi="Segoe UI" w:cs="Segoe UI"/>
        </w:rPr>
        <w:t xml:space="preserve">he feasibility </w:t>
      </w:r>
      <w:r w:rsidR="004C27F8">
        <w:rPr>
          <w:rFonts w:ascii="Segoe UI" w:hAnsi="Segoe UI" w:cs="Segoe UI"/>
        </w:rPr>
        <w:t>study</w:t>
      </w:r>
      <w:r w:rsidR="0005562F">
        <w:rPr>
          <w:rFonts w:ascii="Segoe UI" w:hAnsi="Segoe UI" w:cs="Segoe UI"/>
        </w:rPr>
        <w:t xml:space="preserve"> run by the CHI</w:t>
      </w:r>
      <w:r w:rsidR="00670962">
        <w:rPr>
          <w:rFonts w:ascii="Segoe UI" w:hAnsi="Segoe UI" w:cs="Segoe UI"/>
        </w:rPr>
        <w:t>,</w:t>
      </w:r>
      <w:r w:rsidR="00955753">
        <w:rPr>
          <w:rFonts w:ascii="Segoe UI" w:hAnsi="Segoe UI" w:cs="Segoe UI"/>
        </w:rPr>
        <w:t xml:space="preserve"> along with an in-depth review of</w:t>
      </w:r>
      <w:r w:rsidR="000F5941">
        <w:rPr>
          <w:rFonts w:ascii="Segoe UI" w:hAnsi="Segoe UI" w:cs="Segoe UI"/>
        </w:rPr>
        <w:t xml:space="preserve"> </w:t>
      </w:r>
      <w:r w:rsidR="002A748B">
        <w:rPr>
          <w:rFonts w:ascii="Segoe UI" w:hAnsi="Segoe UI" w:cs="Segoe UI"/>
        </w:rPr>
        <w:t>available literature</w:t>
      </w:r>
      <w:r w:rsidR="002B7B23">
        <w:rPr>
          <w:rFonts w:ascii="Segoe UI" w:hAnsi="Segoe UI" w:cs="Segoe UI"/>
        </w:rPr>
        <w:t xml:space="preserve"> as no other such efforts have been attempted</w:t>
      </w:r>
      <w:r w:rsidR="00F914DF">
        <w:rPr>
          <w:rFonts w:ascii="Segoe UI" w:hAnsi="Segoe UI" w:cs="Segoe UI"/>
        </w:rPr>
        <w:t xml:space="preserve"> in KSA.</w:t>
      </w:r>
    </w:p>
    <w:p w14:paraId="566D0262" w14:textId="77777777" w:rsidR="00BC4B26" w:rsidRDefault="003C23F9">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sidRPr="00714A5A">
        <w:rPr>
          <w:rFonts w:ascii="Segoe UI" w:hAnsi="Segoe UI" w:cs="Segoe UI"/>
          <w:b/>
          <w:bCs/>
        </w:rPr>
        <w:t>Results</w:t>
      </w:r>
      <w:r w:rsidR="007B3C35">
        <w:rPr>
          <w:rFonts w:ascii="Segoe UI" w:hAnsi="Segoe UI" w:cs="Segoe UI"/>
        </w:rPr>
        <w:t xml:space="preserve">: A </w:t>
      </w:r>
      <w:r w:rsidR="00AE0B29">
        <w:rPr>
          <w:rFonts w:ascii="Segoe UI" w:hAnsi="Segoe UI" w:cs="Segoe UI"/>
        </w:rPr>
        <w:t xml:space="preserve">roadmap was proposed </w:t>
      </w:r>
      <w:r w:rsidR="007B3C35">
        <w:rPr>
          <w:rFonts w:ascii="Segoe UI" w:hAnsi="Segoe UI" w:cs="Segoe UI"/>
        </w:rPr>
        <w:t>d</w:t>
      </w:r>
      <w:r w:rsidR="002F21D6">
        <w:rPr>
          <w:rFonts w:ascii="Segoe UI" w:hAnsi="Segoe UI" w:cs="Segoe UI"/>
        </w:rPr>
        <w:t>esig</w:t>
      </w:r>
      <w:r w:rsidR="007B3C35">
        <w:rPr>
          <w:rFonts w:ascii="Segoe UI" w:hAnsi="Segoe UI" w:cs="Segoe UI"/>
        </w:rPr>
        <w:t xml:space="preserve">ned </w:t>
      </w:r>
      <w:r w:rsidR="005A0DD1">
        <w:rPr>
          <w:rFonts w:ascii="Segoe UI" w:hAnsi="Segoe UI" w:cs="Segoe UI"/>
        </w:rPr>
        <w:t xml:space="preserve">to facilitate </w:t>
      </w:r>
      <w:r w:rsidR="00ED12D3">
        <w:rPr>
          <w:rFonts w:ascii="Segoe UI" w:hAnsi="Segoe UI" w:cs="Segoe UI"/>
        </w:rPr>
        <w:t xml:space="preserve">the </w:t>
      </w:r>
      <w:r w:rsidR="00732B63">
        <w:rPr>
          <w:rFonts w:ascii="Segoe UI" w:hAnsi="Segoe UI" w:cs="Segoe UI"/>
        </w:rPr>
        <w:t>optimal state</w:t>
      </w:r>
      <w:r w:rsidR="00AE0B29">
        <w:rPr>
          <w:rFonts w:ascii="Segoe UI" w:hAnsi="Segoe UI" w:cs="Segoe UI"/>
        </w:rPr>
        <w:t xml:space="preserve"> for</w:t>
      </w:r>
      <w:r w:rsidR="00732B63">
        <w:rPr>
          <w:rFonts w:ascii="Segoe UI" w:hAnsi="Segoe UI" w:cs="Segoe UI"/>
        </w:rPr>
        <w:t xml:space="preserve"> implementation</w:t>
      </w:r>
      <w:r w:rsidR="00AE0B29">
        <w:rPr>
          <w:rFonts w:ascii="Segoe UI" w:hAnsi="Segoe UI" w:cs="Segoe UI"/>
        </w:rPr>
        <w:t xml:space="preserve"> </w:t>
      </w:r>
      <w:r w:rsidR="00F30D5A">
        <w:rPr>
          <w:rFonts w:ascii="Segoe UI" w:hAnsi="Segoe UI" w:cs="Segoe UI"/>
        </w:rPr>
        <w:t>of PROMs into</w:t>
      </w:r>
      <w:r w:rsidR="00AE0B29">
        <w:rPr>
          <w:rFonts w:ascii="Segoe UI" w:hAnsi="Segoe UI" w:cs="Segoe UI"/>
        </w:rPr>
        <w:t xml:space="preserve"> public and</w:t>
      </w:r>
      <w:r w:rsidR="00491E07">
        <w:rPr>
          <w:rFonts w:ascii="Segoe UI" w:hAnsi="Segoe UI" w:cs="Segoe UI"/>
        </w:rPr>
        <w:t xml:space="preserve"> private sector</w:t>
      </w:r>
      <w:r w:rsidR="00A10568">
        <w:rPr>
          <w:rFonts w:ascii="Segoe UI" w:hAnsi="Segoe UI" w:cs="Segoe UI"/>
        </w:rPr>
        <w:t xml:space="preserve"> is outlined, </w:t>
      </w:r>
      <w:r w:rsidR="00987C57">
        <w:rPr>
          <w:rFonts w:ascii="Segoe UI" w:hAnsi="Segoe UI" w:cs="Segoe UI"/>
        </w:rPr>
        <w:t>along</w:t>
      </w:r>
      <w:r w:rsidR="00A10568">
        <w:rPr>
          <w:rFonts w:ascii="Segoe UI" w:hAnsi="Segoe UI" w:cs="Segoe UI"/>
        </w:rPr>
        <w:t xml:space="preserve"> with </w:t>
      </w:r>
      <w:r w:rsidR="00987C57">
        <w:rPr>
          <w:rFonts w:ascii="Segoe UI" w:hAnsi="Segoe UI" w:cs="Segoe UI"/>
        </w:rPr>
        <w:t xml:space="preserve">major milestone and </w:t>
      </w:r>
      <w:r w:rsidR="00A10568">
        <w:rPr>
          <w:rFonts w:ascii="Segoe UI" w:hAnsi="Segoe UI" w:cs="Segoe UI"/>
        </w:rPr>
        <w:t xml:space="preserve"> potential </w:t>
      </w:r>
      <w:r w:rsidR="006D3CAD">
        <w:rPr>
          <w:rFonts w:ascii="Segoe UI" w:hAnsi="Segoe UI" w:cs="Segoe UI"/>
        </w:rPr>
        <w:t>shortcomings</w:t>
      </w:r>
      <w:r w:rsidR="00987C57">
        <w:rPr>
          <w:rFonts w:ascii="Segoe UI" w:hAnsi="Segoe UI" w:cs="Segoe UI"/>
        </w:rPr>
        <w:t>.</w:t>
      </w:r>
    </w:p>
    <w:p w14:paraId="5849FD8A" w14:textId="40D89CF6" w:rsidR="00732B63" w:rsidRDefault="00002DA9">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sidRPr="00002DA9">
        <w:rPr>
          <w:rFonts w:ascii="Segoe UI" w:hAnsi="Segoe UI" w:cs="Segoe UI"/>
          <w:b/>
          <w:bCs/>
        </w:rPr>
        <w:t>Discussion</w:t>
      </w:r>
      <w:r>
        <w:rPr>
          <w:rFonts w:ascii="Segoe UI" w:hAnsi="Segoe UI" w:cs="Segoe UI"/>
        </w:rPr>
        <w:t xml:space="preserve">: </w:t>
      </w:r>
      <w:r w:rsidR="00BC4B26">
        <w:rPr>
          <w:rFonts w:ascii="Segoe UI" w:hAnsi="Segoe UI" w:cs="Segoe UI"/>
        </w:rPr>
        <w:t xml:space="preserve">A </w:t>
      </w:r>
      <w:r w:rsidR="00826A8F">
        <w:rPr>
          <w:rFonts w:ascii="Segoe UI" w:hAnsi="Segoe UI" w:cs="Segoe UI"/>
        </w:rPr>
        <w:t xml:space="preserve">continuous </w:t>
      </w:r>
      <w:r w:rsidR="00491E07">
        <w:rPr>
          <w:rFonts w:ascii="Segoe UI" w:hAnsi="Segoe UI" w:cs="Segoe UI"/>
        </w:rPr>
        <w:t>assess</w:t>
      </w:r>
      <w:r w:rsidR="00826A8F">
        <w:rPr>
          <w:rFonts w:ascii="Segoe UI" w:hAnsi="Segoe UI" w:cs="Segoe UI"/>
        </w:rPr>
        <w:t xml:space="preserve">ment of the </w:t>
      </w:r>
      <w:r w:rsidR="00732B63">
        <w:rPr>
          <w:rFonts w:ascii="Segoe UI" w:hAnsi="Segoe UI" w:cs="Segoe UI"/>
        </w:rPr>
        <w:t>market</w:t>
      </w:r>
      <w:r w:rsidR="00FA3601">
        <w:rPr>
          <w:rFonts w:ascii="Segoe UI" w:hAnsi="Segoe UI" w:cs="Segoe UI"/>
        </w:rPr>
        <w:t xml:space="preserve"> in terms of readiness and engagement is </w:t>
      </w:r>
      <w:r w:rsidR="00E60D38">
        <w:rPr>
          <w:rFonts w:ascii="Segoe UI" w:hAnsi="Segoe UI" w:cs="Segoe UI"/>
        </w:rPr>
        <w:t xml:space="preserve">required </w:t>
      </w:r>
      <w:r w:rsidR="00732B63">
        <w:rPr>
          <w:rFonts w:ascii="Segoe UI" w:hAnsi="Segoe UI" w:cs="Segoe UI"/>
        </w:rPr>
        <w:t xml:space="preserve">for </w:t>
      </w:r>
      <w:r w:rsidR="00505E80">
        <w:rPr>
          <w:rFonts w:ascii="Segoe UI" w:hAnsi="Segoe UI" w:cs="Segoe UI"/>
        </w:rPr>
        <w:t xml:space="preserve">proper integration of </w:t>
      </w:r>
      <w:r w:rsidR="00732B63">
        <w:rPr>
          <w:rFonts w:ascii="Segoe UI" w:hAnsi="Segoe UI" w:cs="Segoe UI"/>
        </w:rPr>
        <w:t>PROMs</w:t>
      </w:r>
      <w:r w:rsidR="00634A53">
        <w:rPr>
          <w:rFonts w:ascii="Segoe UI" w:hAnsi="Segoe UI" w:cs="Segoe UI"/>
        </w:rPr>
        <w:t>.</w:t>
      </w:r>
      <w:r w:rsidR="00090150">
        <w:rPr>
          <w:rFonts w:ascii="Segoe UI" w:hAnsi="Segoe UI" w:cs="Segoe UI"/>
        </w:rPr>
        <w:t xml:space="preserve"> </w:t>
      </w:r>
      <w:r w:rsidR="009F3367">
        <w:rPr>
          <w:rFonts w:ascii="Segoe UI" w:hAnsi="Segoe UI" w:cs="Segoe UI"/>
        </w:rPr>
        <w:t xml:space="preserve">A </w:t>
      </w:r>
      <w:r w:rsidR="00393B98">
        <w:rPr>
          <w:rFonts w:ascii="Segoe UI" w:hAnsi="Segoe UI" w:cs="Segoe UI"/>
        </w:rPr>
        <w:t xml:space="preserve">four </w:t>
      </w:r>
      <w:r w:rsidR="009F3367">
        <w:rPr>
          <w:rFonts w:ascii="Segoe UI" w:hAnsi="Segoe UI" w:cs="Segoe UI"/>
        </w:rPr>
        <w:t>step</w:t>
      </w:r>
      <w:r w:rsidR="00B24347">
        <w:rPr>
          <w:rFonts w:ascii="Segoe UI" w:hAnsi="Segoe UI" w:cs="Segoe UI"/>
        </w:rPr>
        <w:t xml:space="preserve"> plan to</w:t>
      </w:r>
      <w:r w:rsidR="00D44B94">
        <w:rPr>
          <w:rFonts w:ascii="Segoe UI" w:hAnsi="Segoe UI" w:cs="Segoe UI"/>
        </w:rPr>
        <w:t xml:space="preserve"> evaluate five</w:t>
      </w:r>
      <w:r w:rsidR="00393B98">
        <w:rPr>
          <w:rFonts w:ascii="Segoe UI" w:hAnsi="Segoe UI" w:cs="Segoe UI"/>
        </w:rPr>
        <w:t xml:space="preserve"> key</w:t>
      </w:r>
      <w:r w:rsidR="00D44B94">
        <w:rPr>
          <w:rFonts w:ascii="Segoe UI" w:hAnsi="Segoe UI" w:cs="Segoe UI"/>
        </w:rPr>
        <w:t xml:space="preserve"> aspects of </w:t>
      </w:r>
      <w:r w:rsidR="00DE15B9">
        <w:rPr>
          <w:rFonts w:ascii="Segoe UI" w:hAnsi="Segoe UI" w:cs="Segoe UI"/>
        </w:rPr>
        <w:t xml:space="preserve">market readiness </w:t>
      </w:r>
      <w:r w:rsidR="00CF3DBF">
        <w:rPr>
          <w:rFonts w:ascii="Segoe UI" w:hAnsi="Segoe UI" w:cs="Segoe UI"/>
        </w:rPr>
        <w:t>was</w:t>
      </w:r>
      <w:r w:rsidR="00DE15B9">
        <w:rPr>
          <w:rFonts w:ascii="Segoe UI" w:hAnsi="Segoe UI" w:cs="Segoe UI"/>
        </w:rPr>
        <w:t xml:space="preserve"> </w:t>
      </w:r>
      <w:r w:rsidR="00CC4CBE">
        <w:rPr>
          <w:rFonts w:ascii="Segoe UI" w:hAnsi="Segoe UI" w:cs="Segoe UI"/>
        </w:rPr>
        <w:t xml:space="preserve">devised </w:t>
      </w:r>
      <w:r w:rsidR="00924358">
        <w:rPr>
          <w:rFonts w:ascii="Segoe UI" w:hAnsi="Segoe UI" w:cs="Segoe UI"/>
        </w:rPr>
        <w:t>that</w:t>
      </w:r>
      <w:r w:rsidR="00C14553">
        <w:rPr>
          <w:rFonts w:ascii="Segoe UI" w:hAnsi="Segoe UI" w:cs="Segoe UI"/>
        </w:rPr>
        <w:t xml:space="preserve"> will be</w:t>
      </w:r>
      <w:r w:rsidR="00DB43C2">
        <w:rPr>
          <w:rFonts w:ascii="Segoe UI" w:hAnsi="Segoe UI" w:cs="Segoe UI"/>
        </w:rPr>
        <w:t xml:space="preserve"> </w:t>
      </w:r>
      <w:r w:rsidR="00C14553">
        <w:rPr>
          <w:rFonts w:ascii="Segoe UI" w:hAnsi="Segoe UI" w:cs="Segoe UI"/>
        </w:rPr>
        <w:t>c</w:t>
      </w:r>
      <w:r w:rsidR="00DB43C2">
        <w:rPr>
          <w:rFonts w:ascii="Segoe UI" w:hAnsi="Segoe UI" w:cs="Segoe UI"/>
        </w:rPr>
        <w:t xml:space="preserve">rucial </w:t>
      </w:r>
      <w:r w:rsidR="00C45569">
        <w:rPr>
          <w:rFonts w:ascii="Segoe UI" w:hAnsi="Segoe UI" w:cs="Segoe UI"/>
        </w:rPr>
        <w:t>f</w:t>
      </w:r>
      <w:r w:rsidR="00732B63">
        <w:rPr>
          <w:rFonts w:ascii="Segoe UI" w:hAnsi="Segoe UI" w:cs="Segoe UI"/>
        </w:rPr>
        <w:t>or</w:t>
      </w:r>
      <w:r w:rsidR="00CF3DBF">
        <w:rPr>
          <w:rFonts w:ascii="Segoe UI" w:hAnsi="Segoe UI" w:cs="Segoe UI"/>
        </w:rPr>
        <w:t xml:space="preserve"> the initiatives long-term </w:t>
      </w:r>
      <w:r w:rsidR="00732B63">
        <w:rPr>
          <w:rFonts w:ascii="Segoe UI" w:hAnsi="Segoe UI" w:cs="Segoe UI"/>
        </w:rPr>
        <w:t>success</w:t>
      </w:r>
      <w:r w:rsidR="00CF3DBF">
        <w:rPr>
          <w:rFonts w:ascii="Segoe UI" w:hAnsi="Segoe UI" w:cs="Segoe UI"/>
        </w:rPr>
        <w:t>.</w:t>
      </w:r>
      <w:r w:rsidR="00732B63">
        <w:rPr>
          <w:rFonts w:ascii="Segoe UI" w:hAnsi="Segoe UI" w:cs="Segoe UI"/>
        </w:rPr>
        <w:br/>
      </w:r>
      <w:r w:rsidR="00732B63">
        <w:rPr>
          <w:rStyle w:val="Strong"/>
          <w:rFonts w:ascii="Segoe UI" w:hAnsi="Segoe UI" w:cs="Segoe UI"/>
          <w:bdr w:val="single" w:sz="2" w:space="0" w:color="E5E7EB" w:frame="1"/>
        </w:rPr>
        <w:t>Conclusions:</w:t>
      </w:r>
      <w:r w:rsidR="00732B63">
        <w:rPr>
          <w:rFonts w:ascii="Segoe UI" w:hAnsi="Segoe UI" w:cs="Segoe UI"/>
        </w:rPr>
        <w:t> </w:t>
      </w:r>
      <w:r w:rsidR="004267D6">
        <w:rPr>
          <w:rFonts w:ascii="Segoe UI" w:hAnsi="Segoe UI" w:cs="Segoe UI"/>
        </w:rPr>
        <w:t>While integrat</w:t>
      </w:r>
      <w:r w:rsidR="00473FED">
        <w:rPr>
          <w:rFonts w:ascii="Segoe UI" w:hAnsi="Segoe UI" w:cs="Segoe UI"/>
        </w:rPr>
        <w:t xml:space="preserve">ing </w:t>
      </w:r>
      <w:r w:rsidR="00732B63">
        <w:rPr>
          <w:rFonts w:ascii="Segoe UI" w:hAnsi="Segoe UI" w:cs="Segoe UI"/>
        </w:rPr>
        <w:t>PROMs in Saudi Arabia is feasible and aligns with international best practices</w:t>
      </w:r>
      <w:r w:rsidR="001220EA">
        <w:rPr>
          <w:rFonts w:ascii="Segoe UI" w:hAnsi="Segoe UI" w:cs="Segoe UI"/>
        </w:rPr>
        <w:t>, g</w:t>
      </w:r>
      <w:r w:rsidR="007327BB">
        <w:rPr>
          <w:rFonts w:ascii="Segoe UI" w:hAnsi="Segoe UI" w:cs="Segoe UI"/>
        </w:rPr>
        <w:t xml:space="preserve">aps have </w:t>
      </w:r>
      <w:r w:rsidR="004267D6">
        <w:rPr>
          <w:rFonts w:ascii="Segoe UI" w:hAnsi="Segoe UI" w:cs="Segoe UI"/>
        </w:rPr>
        <w:t>yet to address</w:t>
      </w:r>
      <w:r w:rsidR="001220EA">
        <w:rPr>
          <w:rFonts w:ascii="Segoe UI" w:hAnsi="Segoe UI" w:cs="Segoe UI"/>
        </w:rPr>
        <w:t xml:space="preserve">ed. </w:t>
      </w:r>
      <w:r w:rsidR="00732B63">
        <w:rPr>
          <w:rFonts w:ascii="Segoe UI" w:hAnsi="Segoe UI" w:cs="Segoe UI"/>
        </w:rPr>
        <w:t>Strategic investment in digital infrastructure, stakeholder engagement, and tool adaptation are critical for success.</w:t>
      </w:r>
    </w:p>
    <w:p w14:paraId="299083EE" w14:textId="317DE5A5" w:rsidR="00732B63"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Keywords:</w:t>
      </w:r>
      <w:r>
        <w:rPr>
          <w:rFonts w:ascii="Segoe UI" w:hAnsi="Segoe UI" w:cs="Segoe UI"/>
        </w:rPr>
        <w:t xml:space="preserve"> Patient-Reported Outcome Measures, PROMs, Saudi Arabia, Health System, Implementation, Feasibility Study, </w:t>
      </w:r>
      <w:r w:rsidR="00D1488E">
        <w:rPr>
          <w:rFonts w:ascii="Segoe UI" w:hAnsi="Segoe UI" w:cs="Segoe UI"/>
        </w:rPr>
        <w:t xml:space="preserve"> Four Step </w:t>
      </w:r>
      <w:r w:rsidR="005F2213">
        <w:rPr>
          <w:rFonts w:ascii="Segoe UI" w:hAnsi="Segoe UI" w:cs="Segoe UI"/>
        </w:rPr>
        <w:t>Roadmap</w:t>
      </w:r>
      <w:r w:rsidR="00D1488E">
        <w:rPr>
          <w:rFonts w:ascii="Segoe UI" w:hAnsi="Segoe UI" w:cs="Segoe UI"/>
        </w:rPr>
        <w:t>.</w:t>
      </w:r>
    </w:p>
    <w:p w14:paraId="28221169" w14:textId="77777777" w:rsidR="00732B63" w:rsidRDefault="00732B63">
      <w:pPr>
        <w:spacing w:before="240" w:after="240"/>
        <w:divId w:val="2049255192"/>
        <w:rPr>
          <w:rFonts w:ascii="Segoe UI" w:eastAsia="Times New Roman" w:hAnsi="Segoe UI" w:cs="Segoe UI"/>
        </w:rPr>
      </w:pPr>
      <w:r>
        <w:rPr>
          <w:rFonts w:ascii="Segoe UI" w:eastAsia="Times New Roman" w:hAnsi="Segoe UI" w:cs="Segoe UI"/>
          <w:noProof/>
        </w:rPr>
        <mc:AlternateContent>
          <mc:Choice Requires="wps">
            <w:drawing>
              <wp:inline distT="0" distB="0" distL="0" distR="0" wp14:anchorId="668AE40B" wp14:editId="795B72A1">
                <wp:extent cx="5731510" cy="4445"/>
                <wp:effectExtent l="0" t="31750" r="0" b="36830"/>
                <wp:docPr id="5339837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4171D6" id="Rectangle 1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3E02BBB7" w14:textId="77777777" w:rsidR="00732B63" w:rsidRDefault="00732B63">
      <w:pPr>
        <w:pStyle w:val="Heading2"/>
        <w:pBdr>
          <w:top w:val="single" w:sz="2" w:space="0" w:color="E5E7EB"/>
          <w:left w:val="single" w:sz="2" w:space="0" w:color="E5E7EB"/>
          <w:bottom w:val="single" w:sz="2" w:space="0" w:color="E5E7EB"/>
          <w:right w:val="single" w:sz="2" w:space="0" w:color="E5E7EB"/>
        </w:pBdr>
        <w:divId w:val="2049255192"/>
        <w:rPr>
          <w:rFonts w:ascii="fkGrotesk Fallback" w:eastAsia="Times New Roman" w:hAnsi="fkGrotesk Fallback" w:cs="Segoe UI"/>
        </w:rPr>
      </w:pPr>
      <w:r>
        <w:rPr>
          <w:rFonts w:ascii="fkGrotesk Fallback" w:eastAsia="Times New Roman" w:hAnsi="fkGrotesk Fallback" w:cs="Segoe UI"/>
        </w:rPr>
        <w:t>Introduction</w:t>
      </w:r>
    </w:p>
    <w:p w14:paraId="48AD623F" w14:textId="646D2817" w:rsidR="0066718E" w:rsidRPr="000741FF" w:rsidRDefault="00732B63" w:rsidP="000741FF">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28" w:right="28"/>
        <w:divId w:val="2049255192"/>
        <w:rPr>
          <w:rFonts w:ascii="Segoe UI" w:hAnsi="Segoe UI" w:cs="Segoe UI"/>
        </w:rPr>
      </w:pPr>
      <w:r>
        <w:rPr>
          <w:rFonts w:ascii="Segoe UI" w:hAnsi="Segoe UI" w:cs="Segoe UI"/>
        </w:rPr>
        <w:t>Patient-Reported Outcome Measures (PROMs) are tools that capture</w:t>
      </w:r>
      <w:r w:rsidR="007A05A7">
        <w:rPr>
          <w:rFonts w:ascii="Segoe UI" w:hAnsi="Segoe UI" w:cs="Segoe UI"/>
        </w:rPr>
        <w:t xml:space="preserve"> a</w:t>
      </w:r>
      <w:r>
        <w:rPr>
          <w:rFonts w:ascii="Segoe UI" w:hAnsi="Segoe UI" w:cs="Segoe UI"/>
        </w:rPr>
        <w:t xml:space="preserve"> patients’ perspectives on their health status, quality of life, and the effectiveness of</w:t>
      </w:r>
      <w:r w:rsidR="00030FA0">
        <w:rPr>
          <w:rFonts w:ascii="Segoe UI" w:hAnsi="Segoe UI" w:cs="Segoe UI"/>
        </w:rPr>
        <w:t xml:space="preserve"> </w:t>
      </w:r>
      <w:r>
        <w:rPr>
          <w:rFonts w:ascii="Segoe UI" w:hAnsi="Segoe UI" w:cs="Segoe UI"/>
        </w:rPr>
        <w:t>care</w:t>
      </w:r>
      <w:r w:rsidR="00030FA0">
        <w:rPr>
          <w:rFonts w:ascii="Segoe UI" w:hAnsi="Segoe UI" w:cs="Segoe UI"/>
        </w:rPr>
        <w:t xml:space="preserve"> provided</w:t>
      </w:r>
      <w:r w:rsidR="00183516">
        <w:rPr>
          <w:rFonts w:ascii="Segoe UI" w:hAnsi="Segoe UI" w:cs="Segoe UI"/>
          <w:color w:val="0E2841" w:themeColor="text2"/>
        </w:rPr>
        <w:t>1</w:t>
      </w:r>
      <w:r>
        <w:rPr>
          <w:rFonts w:ascii="Segoe UI" w:hAnsi="Segoe UI" w:cs="Segoe UI"/>
        </w:rPr>
        <w:t xml:space="preserve">. Globally, the integration of PROMs is </w:t>
      </w:r>
      <w:r w:rsidR="001865C4">
        <w:rPr>
          <w:rFonts w:ascii="Segoe UI" w:hAnsi="Segoe UI" w:cs="Segoe UI"/>
        </w:rPr>
        <w:t xml:space="preserve">proven to correlate </w:t>
      </w:r>
      <w:r>
        <w:rPr>
          <w:rFonts w:ascii="Segoe UI" w:hAnsi="Segoe UI" w:cs="Segoe UI"/>
        </w:rPr>
        <w:t>with improved transparency, accountability, and</w:t>
      </w:r>
      <w:r w:rsidR="00EC74AB">
        <w:rPr>
          <w:rFonts w:ascii="Segoe UI" w:hAnsi="Segoe UI" w:cs="Segoe UI"/>
        </w:rPr>
        <w:t xml:space="preserve"> </w:t>
      </w:r>
      <w:r w:rsidR="002F21F6">
        <w:rPr>
          <w:rFonts w:ascii="Segoe UI" w:hAnsi="Segoe UI" w:cs="Segoe UI"/>
        </w:rPr>
        <w:t xml:space="preserve">an increase in value-based </w:t>
      </w:r>
      <w:r>
        <w:rPr>
          <w:rFonts w:ascii="Segoe UI" w:hAnsi="Segoe UI" w:cs="Segoe UI"/>
        </w:rPr>
        <w:t>patient-</w:t>
      </w:r>
      <w:proofErr w:type="spellStart"/>
      <w:r>
        <w:rPr>
          <w:rFonts w:ascii="Segoe UI" w:hAnsi="Segoe UI" w:cs="Segoe UI"/>
        </w:rPr>
        <w:t>centered</w:t>
      </w:r>
      <w:proofErr w:type="spellEnd"/>
      <w:r>
        <w:rPr>
          <w:rFonts w:ascii="Segoe UI" w:hAnsi="Segoe UI" w:cs="Segoe UI"/>
        </w:rPr>
        <w:t xml:space="preserve"> care </w:t>
      </w:r>
      <w:hyperlink r:id="rId5" w:tgtFrame="_blank" w:history="1">
        <w:r>
          <w:rPr>
            <w:rStyle w:val="hoverbg-super"/>
            <w:rFonts w:ascii="Courier New" w:hAnsi="Courier New" w:cs="Courier New"/>
            <w:color w:val="0000FF"/>
            <w:bdr w:val="single" w:sz="2" w:space="0" w:color="E5E7EB" w:frame="1"/>
          </w:rPr>
          <w:t>1</w:t>
        </w:r>
      </w:hyperlink>
      <w:r w:rsidR="00620836">
        <w:t>,</w:t>
      </w:r>
      <w:r w:rsidR="00620836" w:rsidRPr="00183516">
        <w:rPr>
          <w:color w:val="153D63" w:themeColor="text2" w:themeTint="E6"/>
        </w:rPr>
        <w:t>2</w:t>
      </w:r>
      <w:r>
        <w:rPr>
          <w:rStyle w:val="whitespace-nowrap"/>
          <w:rFonts w:ascii="Segoe UI" w:hAnsi="Segoe UI" w:cs="Segoe UI"/>
          <w:bdr w:val="single" w:sz="2" w:space="0" w:color="E5E7EB" w:frame="1"/>
        </w:rPr>
        <w:t>.</w:t>
      </w:r>
      <w:r>
        <w:rPr>
          <w:rFonts w:ascii="Segoe UI" w:hAnsi="Segoe UI" w:cs="Segoe UI"/>
        </w:rPr>
        <w:t> In Saudi Arabia, the Council of Health Insurance (CHI) is spearheading efforts to make PROMs a mandatory part of the health system, aligning with the Kingdom’s Vision 2030 for healthcare transformation </w:t>
      </w:r>
      <w:r w:rsidR="00432A3D" w:rsidRPr="00432A3D">
        <w:rPr>
          <w:rStyle w:val="Hyperlink"/>
        </w:rPr>
        <w:t>1</w:t>
      </w:r>
      <w:r w:rsidR="00432A3D">
        <w:rPr>
          <w:rFonts w:ascii="Segoe UI" w:hAnsi="Segoe UI" w:cs="Segoe UI"/>
        </w:rPr>
        <w:t>,</w:t>
      </w:r>
      <w:hyperlink r:id="rId6" w:tgtFrame="_blank" w:history="1">
        <w:r>
          <w:rPr>
            <w:rStyle w:val="hoverbg-super"/>
            <w:rFonts w:ascii="Courier New" w:hAnsi="Courier New" w:cs="Courier New"/>
            <w:color w:val="0000FF"/>
            <w:bdr w:val="single" w:sz="2" w:space="0" w:color="E5E7EB" w:frame="1"/>
          </w:rPr>
          <w:t>2</w:t>
        </w:r>
      </w:hyperlink>
      <w:r>
        <w:rPr>
          <w:rStyle w:val="whitespace-nowrap"/>
          <w:rFonts w:ascii="Segoe UI" w:hAnsi="Segoe UI" w:cs="Segoe UI"/>
          <w:bdr w:val="single" w:sz="2" w:space="0" w:color="E5E7EB" w:frame="1"/>
        </w:rPr>
        <w:t>.</w:t>
      </w:r>
      <w:r>
        <w:rPr>
          <w:rFonts w:ascii="Segoe UI" w:hAnsi="Segoe UI" w:cs="Segoe UI"/>
        </w:rPr>
        <w:t> </w:t>
      </w:r>
      <w:r w:rsidR="00364689">
        <w:rPr>
          <w:rFonts w:ascii="Segoe UI" w:hAnsi="Segoe UI" w:cs="Segoe UI"/>
        </w:rPr>
        <w:t xml:space="preserve">As part of this, a feasibility study was </w:t>
      </w:r>
      <w:r w:rsidR="00E36411">
        <w:rPr>
          <w:rFonts w:ascii="Segoe UI" w:hAnsi="Segoe UI" w:cs="Segoe UI"/>
        </w:rPr>
        <w:t>conducted but it focused on</w:t>
      </w:r>
      <w:r w:rsidR="00364689">
        <w:rPr>
          <w:rFonts w:ascii="Segoe UI" w:hAnsi="Segoe UI" w:cs="Segoe UI"/>
        </w:rPr>
        <w:t xml:space="preserve"> identifying </w:t>
      </w:r>
      <w:r w:rsidR="0004475C">
        <w:rPr>
          <w:rFonts w:ascii="Segoe UI" w:hAnsi="Segoe UI" w:cs="Segoe UI"/>
        </w:rPr>
        <w:t>key factors in implement</w:t>
      </w:r>
      <w:r w:rsidR="00B771F7">
        <w:rPr>
          <w:rFonts w:ascii="Segoe UI" w:hAnsi="Segoe UI" w:cs="Segoe UI"/>
        </w:rPr>
        <w:t xml:space="preserve">ation </w:t>
      </w:r>
      <w:r w:rsidR="00E20800">
        <w:rPr>
          <w:rFonts w:ascii="Segoe UI" w:hAnsi="Segoe UI" w:cs="Segoe UI"/>
        </w:rPr>
        <w:t xml:space="preserve">and </w:t>
      </w:r>
      <w:r w:rsidR="00364689">
        <w:rPr>
          <w:rFonts w:ascii="Segoe UI" w:hAnsi="Segoe UI" w:cs="Segoe UI"/>
        </w:rPr>
        <w:t xml:space="preserve">current </w:t>
      </w:r>
      <w:r w:rsidR="00E20800">
        <w:rPr>
          <w:rFonts w:ascii="Segoe UI" w:hAnsi="Segoe UI" w:cs="Segoe UI"/>
        </w:rPr>
        <w:t>obstacles</w:t>
      </w:r>
      <w:r w:rsidR="00364689">
        <w:rPr>
          <w:rFonts w:ascii="Segoe UI" w:hAnsi="Segoe UI" w:cs="Segoe UI"/>
        </w:rPr>
        <w:t>,</w:t>
      </w:r>
      <w:r w:rsidR="0004475C">
        <w:rPr>
          <w:rFonts w:ascii="Segoe UI" w:hAnsi="Segoe UI" w:cs="Segoe UI"/>
        </w:rPr>
        <w:t xml:space="preserve"> not </w:t>
      </w:r>
      <w:r w:rsidR="00364689">
        <w:rPr>
          <w:rFonts w:ascii="Segoe UI" w:hAnsi="Segoe UI" w:cs="Segoe UI"/>
        </w:rPr>
        <w:t xml:space="preserve">optimal integration strategies, </w:t>
      </w:r>
      <w:r w:rsidR="0004475C">
        <w:rPr>
          <w:rFonts w:ascii="Segoe UI" w:hAnsi="Segoe UI" w:cs="Segoe UI"/>
        </w:rPr>
        <w:t xml:space="preserve">or </w:t>
      </w:r>
      <w:r w:rsidR="00B771F7">
        <w:rPr>
          <w:rFonts w:ascii="Segoe UI" w:hAnsi="Segoe UI" w:cs="Segoe UI"/>
        </w:rPr>
        <w:t>market readiness</w:t>
      </w:r>
      <w:r w:rsidR="00364689">
        <w:rPr>
          <w:rFonts w:ascii="Segoe UI" w:hAnsi="Segoe UI" w:cs="Segoe UI"/>
        </w:rPr>
        <w:t xml:space="preserve"> factors. </w:t>
      </w:r>
    </w:p>
    <w:p w14:paraId="2748A27F" w14:textId="2A70E928" w:rsidR="004D1761" w:rsidRDefault="004D1761" w:rsidP="00660751">
      <w:pPr>
        <w:pStyle w:val="Heading5"/>
        <w:divId w:val="2049255192"/>
      </w:pPr>
      <w:r>
        <w:t>International Context</w:t>
      </w:r>
    </w:p>
    <w:p w14:paraId="26E77400" w14:textId="77777777" w:rsidR="000741FF" w:rsidRDefault="004D1761">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 xml:space="preserve">Globally, the integration of Patient-Reported Outcome Measures (PROMs) has become a hallmark of value-based healthcare reforms. Countries such as the United Kingdom, Sweden, the Netherlands, and Australia have established national registries and reporting systems that use PROMs to drive improvements in clinical outcomes, transparency, and patient engagement </w:t>
      </w:r>
      <w:r w:rsidR="0045674E">
        <w:rPr>
          <w:rFonts w:ascii="Segoe UI" w:hAnsi="Segoe UI" w:cs="Segoe UI"/>
        </w:rPr>
        <w:t>4-</w:t>
      </w:r>
      <w:r>
        <w:rPr>
          <w:rFonts w:ascii="Segoe UI" w:hAnsi="Segoe UI" w:cs="Segoe UI"/>
        </w:rPr>
        <w:t>5.</w:t>
      </w:r>
    </w:p>
    <w:p w14:paraId="55BBD154" w14:textId="779B9671" w:rsidR="004D1761" w:rsidRDefault="004D1761">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 xml:space="preserve"> For example, the National Health Service (NHS) in England mandates the collection of PROMs for specific surgical procedures, using the data to benchmark providers and inform patient choice. Similarly, Sweden’s national quality registries leverage PROMs to monitor long-term health outcomes and support continuous quality improvement.</w:t>
      </w:r>
    </w:p>
    <w:p w14:paraId="215A5D22" w14:textId="77777777" w:rsidR="004D1761" w:rsidRDefault="004D1761">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5879E41A" w14:textId="6860D85D" w:rsidR="004D1761" w:rsidRDefault="004D1761">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Saudi Arabia’s approach, as outlined in the CHI feasibility study, aligns with these international best practices by emphasizing not only the collection but also the integration and use of PROMs data across the health system (see Figure 1</w:t>
      </w:r>
      <w:r w:rsidR="00202EFB">
        <w:rPr>
          <w:rFonts w:ascii="Segoe UI" w:hAnsi="Segoe UI" w:cs="Segoe UI"/>
        </w:rPr>
        <w:t>)</w:t>
      </w:r>
      <w:r>
        <w:rPr>
          <w:rFonts w:ascii="Segoe UI" w:hAnsi="Segoe UI" w:cs="Segoe UI"/>
        </w:rPr>
        <w:t>. However, the Saudi context presents unique challenges, such as the need for culturally validated Arabic PROMs instruments and adaptation to local health system structures. Learning from countries with established PROMs frameworks can inform Saudi Arabia’s efforts to standardize data collection, ensure data quality, and maximize the impact of public reporting.</w:t>
      </w:r>
    </w:p>
    <w:p w14:paraId="57309156" w14:textId="77777777" w:rsidR="004D1761" w:rsidRDefault="004D1761">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20D349A5" w14:textId="7AB3DF4B" w:rsidR="004D1761" w:rsidRDefault="004D1761" w:rsidP="00815CA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Compared to OECD averages, Saudi Arabia’s PROMs integration is notable for high initial adoption but lags in standardization and patient engagement, echoing trends observed in other rapidly developing health systems</w:t>
      </w:r>
      <w:r w:rsidR="000F62FC" w:rsidRPr="00C006CA">
        <w:rPr>
          <w:rStyle w:val="Hyperlink"/>
        </w:rPr>
        <w:t xml:space="preserve"> 6</w:t>
      </w:r>
      <w:r w:rsidR="000F62FC">
        <w:rPr>
          <w:rFonts w:ascii="Segoe UI" w:hAnsi="Segoe UI" w:cs="Segoe UI"/>
        </w:rPr>
        <w:t>.</w:t>
      </w:r>
    </w:p>
    <w:p w14:paraId="64BD15A2" w14:textId="77777777" w:rsidR="004D1761" w:rsidRDefault="004D1761">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These findings suggest that policy interventions should prioritize the development of validated Arabic PROMs instruments and invest in digital infrastructure to support seamless data collection and reporting.</w:t>
      </w:r>
    </w:p>
    <w:p w14:paraId="4B8DCEFD" w14:textId="77777777" w:rsidR="004D1761" w:rsidRDefault="004D1761">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09E83BC4" w14:textId="7043CEF4" w:rsidR="00732B63"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This</w:t>
      </w:r>
      <w:r w:rsidR="00112AA5">
        <w:rPr>
          <w:rFonts w:ascii="Segoe UI" w:hAnsi="Segoe UI" w:cs="Segoe UI"/>
        </w:rPr>
        <w:t xml:space="preserve"> paper</w:t>
      </w:r>
      <w:r w:rsidR="00691179">
        <w:rPr>
          <w:rFonts w:ascii="Segoe UI" w:hAnsi="Segoe UI" w:cs="Segoe UI"/>
        </w:rPr>
        <w:t xml:space="preserve"> will attempt to </w:t>
      </w:r>
      <w:r>
        <w:rPr>
          <w:rFonts w:ascii="Segoe UI" w:hAnsi="Segoe UI" w:cs="Segoe UI"/>
        </w:rPr>
        <w:t xml:space="preserve">provides an in-depth analysis of the </w:t>
      </w:r>
      <w:r w:rsidR="00691179">
        <w:rPr>
          <w:rFonts w:ascii="Segoe UI" w:hAnsi="Segoe UI" w:cs="Segoe UI"/>
        </w:rPr>
        <w:t xml:space="preserve">findings </w:t>
      </w:r>
      <w:r w:rsidR="006A15AD">
        <w:rPr>
          <w:rFonts w:ascii="Segoe UI" w:hAnsi="Segoe UI" w:cs="Segoe UI"/>
        </w:rPr>
        <w:t xml:space="preserve">from the </w:t>
      </w:r>
      <w:r>
        <w:rPr>
          <w:rFonts w:ascii="Segoe UI" w:hAnsi="Segoe UI" w:cs="Segoe UI"/>
        </w:rPr>
        <w:t>CHI’s feasibility study</w:t>
      </w:r>
      <w:r w:rsidR="006A15AD">
        <w:rPr>
          <w:rFonts w:ascii="Segoe UI" w:hAnsi="Segoe UI" w:cs="Segoe UI"/>
        </w:rPr>
        <w:t xml:space="preserve"> and use it and other </w:t>
      </w:r>
      <w:r w:rsidR="0007085E">
        <w:rPr>
          <w:rFonts w:ascii="Segoe UI" w:hAnsi="Segoe UI" w:cs="Segoe UI"/>
        </w:rPr>
        <w:t xml:space="preserve">available sources to </w:t>
      </w:r>
      <w:r w:rsidR="00FA3E82">
        <w:rPr>
          <w:rFonts w:ascii="Segoe UI" w:hAnsi="Segoe UI" w:cs="Segoe UI"/>
        </w:rPr>
        <w:t xml:space="preserve">propose strategic recommendations and four step </w:t>
      </w:r>
      <w:r w:rsidR="00195E75">
        <w:rPr>
          <w:rFonts w:ascii="Segoe UI" w:hAnsi="Segoe UI" w:cs="Segoe UI"/>
        </w:rPr>
        <w:t xml:space="preserve">roadmap that will result in the </w:t>
      </w:r>
      <w:r w:rsidR="0007085E">
        <w:rPr>
          <w:rFonts w:ascii="Segoe UI" w:hAnsi="Segoe UI" w:cs="Segoe UI"/>
        </w:rPr>
        <w:t xml:space="preserve">proper </w:t>
      </w:r>
      <w:r>
        <w:rPr>
          <w:rFonts w:ascii="Segoe UI" w:hAnsi="Segoe UI" w:cs="Segoe UI"/>
        </w:rPr>
        <w:t>implementation</w:t>
      </w:r>
      <w:r w:rsidR="00AE068F">
        <w:rPr>
          <w:rFonts w:ascii="Segoe UI" w:hAnsi="Segoe UI" w:cs="Segoe UI"/>
        </w:rPr>
        <w:t xml:space="preserve"> of </w:t>
      </w:r>
      <w:r>
        <w:rPr>
          <w:rFonts w:ascii="Segoe UI" w:hAnsi="Segoe UI" w:cs="Segoe UI"/>
        </w:rPr>
        <w:t xml:space="preserve">PROMs </w:t>
      </w:r>
      <w:r w:rsidR="00AE068F">
        <w:rPr>
          <w:rFonts w:ascii="Segoe UI" w:hAnsi="Segoe UI" w:cs="Segoe UI"/>
        </w:rPr>
        <w:t xml:space="preserve">as a tool to </w:t>
      </w:r>
      <w:r w:rsidR="00A116B7">
        <w:rPr>
          <w:rFonts w:ascii="Segoe UI" w:hAnsi="Segoe UI" w:cs="Segoe UI"/>
        </w:rPr>
        <w:t xml:space="preserve">measure national health and perceptions. </w:t>
      </w:r>
    </w:p>
    <w:p w14:paraId="2D499157" w14:textId="77777777" w:rsidR="00732B63" w:rsidRDefault="00732B63">
      <w:pPr>
        <w:spacing w:before="240" w:after="240"/>
        <w:divId w:val="2049255192"/>
        <w:rPr>
          <w:rFonts w:ascii="Segoe UI" w:eastAsia="Times New Roman" w:hAnsi="Segoe UI" w:cs="Segoe UI"/>
        </w:rPr>
      </w:pPr>
      <w:r>
        <w:rPr>
          <w:rFonts w:ascii="Segoe UI" w:eastAsia="Times New Roman" w:hAnsi="Segoe UI" w:cs="Segoe UI"/>
          <w:noProof/>
        </w:rPr>
        <mc:AlternateContent>
          <mc:Choice Requires="wps">
            <w:drawing>
              <wp:inline distT="0" distB="0" distL="0" distR="0" wp14:anchorId="44497543" wp14:editId="51245F09">
                <wp:extent cx="5731510" cy="4445"/>
                <wp:effectExtent l="0" t="31750" r="0" b="36830"/>
                <wp:docPr id="12758706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84DEAC" id="Rectangle 1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7A5986DA" w14:textId="77777777" w:rsidR="00732B63" w:rsidRDefault="00732B63" w:rsidP="006C172D">
      <w:pPr>
        <w:pStyle w:val="Heading1"/>
        <w:divId w:val="2049255192"/>
        <w:rPr>
          <w:rFonts w:eastAsia="Times New Roman"/>
        </w:rPr>
      </w:pPr>
      <w:r>
        <w:rPr>
          <w:rFonts w:eastAsia="Times New Roman"/>
        </w:rPr>
        <w:t>Methods</w:t>
      </w:r>
    </w:p>
    <w:p w14:paraId="61A42E86" w14:textId="1BC83D7B" w:rsidR="00732B63" w:rsidRDefault="00732B63" w:rsidP="00D04D87">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eastAsia="Times New Roman" w:hAnsi="Segoe UI" w:cs="Segoe UI"/>
        </w:rPr>
      </w:pPr>
      <w:r>
        <w:rPr>
          <w:rFonts w:ascii="Segoe UI" w:hAnsi="Segoe UI" w:cs="Segoe UI"/>
        </w:rPr>
        <w:t>This study is a qualitative synthesis of the CHI’s 202</w:t>
      </w:r>
      <w:r w:rsidR="00913FFF">
        <w:rPr>
          <w:rFonts w:ascii="Segoe UI" w:hAnsi="Segoe UI" w:cs="Segoe UI"/>
        </w:rPr>
        <w:t>4</w:t>
      </w:r>
      <w:r>
        <w:rPr>
          <w:rFonts w:ascii="Segoe UI" w:hAnsi="Segoe UI" w:cs="Segoe UI"/>
        </w:rPr>
        <w:t xml:space="preserve"> Feasibility Study</w:t>
      </w:r>
      <w:r w:rsidR="00313192" w:rsidRPr="00A928DB">
        <w:rPr>
          <w:rFonts w:ascii="Segoe UI" w:hAnsi="Segoe UI" w:cs="Segoe UI"/>
          <w:color w:val="153D63" w:themeColor="text2" w:themeTint="E6"/>
          <w:sz w:val="16"/>
          <w:szCs w:val="16"/>
        </w:rPr>
        <w:t xml:space="preserve"> 1</w:t>
      </w:r>
      <w:r w:rsidRPr="00A928DB">
        <w:rPr>
          <w:rFonts w:ascii="Segoe UI" w:hAnsi="Segoe UI" w:cs="Segoe UI"/>
          <w:color w:val="153D63" w:themeColor="text2" w:themeTint="E6"/>
          <w:sz w:val="16"/>
          <w:szCs w:val="16"/>
        </w:rPr>
        <w:t>,</w:t>
      </w:r>
      <w:r>
        <w:rPr>
          <w:rFonts w:ascii="Segoe UI" w:hAnsi="Segoe UI" w:cs="Segoe UI"/>
        </w:rPr>
        <w:t xml:space="preserve"> which involved </w:t>
      </w:r>
      <w:r w:rsidR="00B55580">
        <w:rPr>
          <w:rFonts w:ascii="Segoe UI" w:hAnsi="Segoe UI" w:cs="Segoe UI"/>
        </w:rPr>
        <w:t>the willing participation of 15 hospitals</w:t>
      </w:r>
      <w:r w:rsidR="0063623C">
        <w:rPr>
          <w:rFonts w:ascii="Segoe UI" w:hAnsi="Segoe UI" w:cs="Segoe UI"/>
        </w:rPr>
        <w:t xml:space="preserve"> gathering data using </w:t>
      </w:r>
      <w:r w:rsidR="00091A32">
        <w:rPr>
          <w:rFonts w:ascii="Segoe UI" w:hAnsi="Segoe UI" w:cs="Segoe UI"/>
        </w:rPr>
        <w:t xml:space="preserve">questionnaires and digital-based market </w:t>
      </w:r>
      <w:r w:rsidR="009F1ED1">
        <w:rPr>
          <w:rFonts w:ascii="Segoe UI" w:hAnsi="Segoe UI" w:cs="Segoe UI"/>
        </w:rPr>
        <w:t>surveys.</w:t>
      </w:r>
      <w:r w:rsidR="008F0FFC">
        <w:rPr>
          <w:rFonts w:ascii="Segoe UI" w:hAnsi="Segoe UI" w:cs="Segoe UI"/>
        </w:rPr>
        <w:t xml:space="preserve"> A</w:t>
      </w:r>
      <w:r w:rsidR="00C81261">
        <w:rPr>
          <w:rFonts w:ascii="Segoe UI" w:hAnsi="Segoe UI" w:cs="Segoe UI"/>
        </w:rPr>
        <w:t>s a s</w:t>
      </w:r>
      <w:r>
        <w:rPr>
          <w:rFonts w:ascii="Segoe UI" w:hAnsi="Segoe UI" w:cs="Segoe UI"/>
        </w:rPr>
        <w:t>upplemen</w:t>
      </w:r>
      <w:r w:rsidR="00C81261">
        <w:rPr>
          <w:rFonts w:ascii="Segoe UI" w:hAnsi="Segoe UI" w:cs="Segoe UI"/>
        </w:rPr>
        <w:t>t to this and to better interpret</w:t>
      </w:r>
      <w:r w:rsidR="001410F6">
        <w:rPr>
          <w:rFonts w:ascii="Segoe UI" w:hAnsi="Segoe UI" w:cs="Segoe UI"/>
        </w:rPr>
        <w:t xml:space="preserve"> their findings and how to apply them, a more extensive </w:t>
      </w:r>
      <w:r>
        <w:rPr>
          <w:rFonts w:ascii="Segoe UI" w:hAnsi="Segoe UI" w:cs="Segoe UI"/>
        </w:rPr>
        <w:t>literature</w:t>
      </w:r>
      <w:r w:rsidR="00B957C4">
        <w:rPr>
          <w:rFonts w:ascii="Segoe UI" w:hAnsi="Segoe UI" w:cs="Segoe UI"/>
        </w:rPr>
        <w:t xml:space="preserve"> review </w:t>
      </w:r>
      <w:r w:rsidR="007B26C4">
        <w:rPr>
          <w:rFonts w:ascii="Segoe UI" w:hAnsi="Segoe UI" w:cs="Segoe UI"/>
        </w:rPr>
        <w:t>of</w:t>
      </w:r>
      <w:r>
        <w:rPr>
          <w:rFonts w:ascii="Segoe UI" w:hAnsi="Segoe UI" w:cs="Segoe UI"/>
        </w:rPr>
        <w:t xml:space="preserve"> </w:t>
      </w:r>
      <w:r w:rsidR="008F0FFC">
        <w:rPr>
          <w:rFonts w:ascii="Segoe UI" w:hAnsi="Segoe UI" w:cs="Segoe UI"/>
        </w:rPr>
        <w:t xml:space="preserve">other </w:t>
      </w:r>
      <w:r w:rsidR="003949B3">
        <w:rPr>
          <w:rFonts w:ascii="Segoe UI" w:hAnsi="Segoe UI" w:cs="Segoe UI"/>
        </w:rPr>
        <w:t>initiatives</w:t>
      </w:r>
      <w:r w:rsidR="000F4AC8">
        <w:rPr>
          <w:rFonts w:ascii="Segoe UI" w:hAnsi="Segoe UI" w:cs="Segoe UI"/>
        </w:rPr>
        <w:t xml:space="preserve"> on </w:t>
      </w:r>
      <w:r>
        <w:rPr>
          <w:rFonts w:ascii="Segoe UI" w:hAnsi="Segoe UI" w:cs="Segoe UI"/>
        </w:rPr>
        <w:t xml:space="preserve">PROMs implementation was also </w:t>
      </w:r>
      <w:r w:rsidR="003949B3">
        <w:rPr>
          <w:rFonts w:ascii="Segoe UI" w:hAnsi="Segoe UI" w:cs="Segoe UI"/>
        </w:rPr>
        <w:t xml:space="preserve">conducted </w:t>
      </w:r>
      <w:r>
        <w:rPr>
          <w:rFonts w:ascii="Segoe UI" w:hAnsi="Segoe UI" w:cs="Segoe UI"/>
        </w:rPr>
        <w:t>to contextualize findings</w:t>
      </w:r>
      <w:r w:rsidR="0014223C">
        <w:rPr>
          <w:rFonts w:ascii="Segoe UI" w:hAnsi="Segoe UI" w:cs="Segoe UI"/>
        </w:rPr>
        <w:t xml:space="preserve"> </w:t>
      </w:r>
      <w:r w:rsidR="0014223C">
        <w:rPr>
          <w:rFonts w:ascii="Segoe UI" w:hAnsi="Segoe UI" w:cs="Segoe UI"/>
          <w:color w:val="0E2841" w:themeColor="text2"/>
        </w:rPr>
        <w:t>1</w:t>
      </w:r>
      <w:r w:rsidR="00D04D87">
        <w:rPr>
          <w:rFonts w:ascii="Segoe UI" w:hAnsi="Segoe UI" w:cs="Segoe UI"/>
          <w:color w:val="0E2841" w:themeColor="text2"/>
        </w:rPr>
        <w:t>-9</w:t>
      </w:r>
      <w:r>
        <w:rPr>
          <w:rFonts w:ascii="Segoe UI" w:eastAsia="Times New Roman" w:hAnsi="Segoe UI" w:cs="Segoe UI"/>
          <w:noProof/>
        </w:rPr>
        <mc:AlternateContent>
          <mc:Choice Requires="wps">
            <w:drawing>
              <wp:inline distT="0" distB="0" distL="0" distR="0" wp14:anchorId="7B5EB1FC" wp14:editId="7ADF08F4">
                <wp:extent cx="5731510" cy="4445"/>
                <wp:effectExtent l="0" t="31750" r="0" b="36830"/>
                <wp:docPr id="130144266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2274E9" id="Rectangle 10"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7299C39C" w14:textId="77777777" w:rsidR="00732B63" w:rsidRDefault="00732B63" w:rsidP="006C172D">
      <w:pPr>
        <w:pStyle w:val="Heading1"/>
        <w:divId w:val="2049255192"/>
        <w:rPr>
          <w:rFonts w:eastAsia="Times New Roman"/>
        </w:rPr>
      </w:pPr>
      <w:r>
        <w:rPr>
          <w:rFonts w:eastAsia="Times New Roman"/>
        </w:rPr>
        <w:t>Results</w:t>
      </w:r>
    </w:p>
    <w:p w14:paraId="0FF23E52" w14:textId="77777777" w:rsidR="00732B63" w:rsidRDefault="00732B63">
      <w:pPr>
        <w:pStyle w:val="Heading2"/>
        <w:pBdr>
          <w:top w:val="single" w:sz="2" w:space="0" w:color="E5E7EB"/>
          <w:left w:val="single" w:sz="2" w:space="0" w:color="E5E7EB"/>
          <w:bottom w:val="single" w:sz="2" w:space="0" w:color="E5E7EB"/>
          <w:right w:val="single" w:sz="2" w:space="0" w:color="E5E7EB"/>
        </w:pBdr>
        <w:divId w:val="2049255192"/>
        <w:rPr>
          <w:rFonts w:ascii="fkGrotesk Fallback" w:eastAsia="Times New Roman" w:hAnsi="fkGrotesk Fallback" w:cs="Segoe UI"/>
        </w:rPr>
      </w:pPr>
      <w:r>
        <w:rPr>
          <w:rFonts w:ascii="fkGrotesk Fallback" w:eastAsia="Times New Roman" w:hAnsi="fkGrotesk Fallback" w:cs="Segoe UI"/>
        </w:rPr>
        <w:t>Feasibility Study Overview</w:t>
      </w:r>
    </w:p>
    <w:p w14:paraId="5B4D9300" w14:textId="77777777" w:rsidR="00732B63"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The CHI feasibility study identified key milestones for achieving optimal PROMs implementation. Currently, 67% of private facilities have implemented PROMs, but only 33% have fully integrated them into routine care. Instruments in use often lack cultural validation, with limited availability of Arabic translations for tools such as the EQ-5D. Additionally, 33% of organizations plan to use PROMs outside the CHI strategy’s scope. The optimal state envisions full integration of PROMs into care delivery, standardized data collection, and the use of PROMs insights to empower patients and optimize sector performance (Council of Health Insurance 2025a) (see Figure 1).</w:t>
      </w:r>
    </w:p>
    <w:p w14:paraId="2A6A954B" w14:textId="0A1F4FEB" w:rsidR="001D3F0A" w:rsidRDefault="0072506B">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roofErr w:type="spellStart"/>
      <w:r>
        <w:rPr>
          <w:rFonts w:ascii="Segoe UI" w:hAnsi="Segoe UI" w:cs="Segoe UI"/>
        </w:rPr>
        <w:t>xxxxx</w:t>
      </w:r>
      <w:proofErr w:type="spellEnd"/>
    </w:p>
    <w:p w14:paraId="4A0D3E37" w14:textId="05C68F37" w:rsidR="00732B63"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Figure 1. Feasibility Study Overview: Current and optimal states for PROMs implementation in Saudi Arabia.</w:t>
      </w:r>
      <w:r>
        <w:rPr>
          <w:rFonts w:ascii="Segoe UI" w:hAnsi="Segoe UI" w:cs="Segoe UI"/>
        </w:rPr>
        <w:br/>
      </w:r>
      <w:r>
        <w:rPr>
          <w:rStyle w:val="Emphasis"/>
          <w:rFonts w:ascii="Segoe UI" w:hAnsi="Segoe UI" w:cs="Segoe UI"/>
          <w:bdr w:val="single" w:sz="2" w:space="0" w:color="E5E7EB" w:frame="1"/>
        </w:rPr>
        <w:t>Source: Council of Health Insurance 2025a.</w:t>
      </w:r>
    </w:p>
    <w:p w14:paraId="4C40E502" w14:textId="2CEF2561" w:rsidR="00CF34EF" w:rsidRPr="00BB3062" w:rsidRDefault="00732B63" w:rsidP="009B3899">
      <w:pPr>
        <w:spacing w:before="240" w:after="240"/>
        <w:divId w:val="2049255192"/>
        <w:rPr>
          <w:rStyle w:val="Heading3Char"/>
        </w:rPr>
      </w:pPr>
      <w:r>
        <w:rPr>
          <w:rFonts w:ascii="Segoe UI" w:eastAsia="Times New Roman" w:hAnsi="Segoe UI" w:cs="Segoe UI"/>
          <w:noProof/>
        </w:rPr>
        <mc:AlternateContent>
          <mc:Choice Requires="wps">
            <w:drawing>
              <wp:inline distT="0" distB="0" distL="0" distR="0" wp14:anchorId="596774F2" wp14:editId="70FE4EF0">
                <wp:extent cx="5731510" cy="4445"/>
                <wp:effectExtent l="0" t="31750" r="0" b="36830"/>
                <wp:docPr id="182224894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8A1A9F" id="Rectangle 9"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r w:rsidR="00CF34EF" w:rsidRPr="00BB3062">
        <w:rPr>
          <w:rStyle w:val="Heading3Char"/>
        </w:rPr>
        <w:t>Five Aspects of Market Readiness and PROMs Strategy Correlation</w:t>
      </w:r>
    </w:p>
    <w:p w14:paraId="0694DBB6" w14:textId="57351CAB" w:rsidR="00CF34EF" w:rsidRDefault="00CF34EF" w:rsidP="00CF34EF">
      <w:pPr>
        <w:divId w:val="2049255192"/>
      </w:pPr>
      <w:r>
        <w:t>The CHI study identifies five aspects of market readiness and their correlation with PROMs strategy:</w:t>
      </w:r>
    </w:p>
    <w:p w14:paraId="5F056BAE" w14:textId="316DAA90" w:rsidR="00CF34EF" w:rsidRDefault="00CF34EF" w:rsidP="00CF34EF">
      <w:pPr>
        <w:pStyle w:val="ListParagraph"/>
        <w:numPr>
          <w:ilvl w:val="0"/>
          <w:numId w:val="6"/>
        </w:numPr>
        <w:divId w:val="2049255192"/>
      </w:pPr>
      <w:r>
        <w:t>Market Supports Beneficiary/Patient-Centric Programs: Foundation for value beyond cost</w:t>
      </w:r>
      <w:r w:rsidR="00277AA8">
        <w:t>s.</w:t>
      </w:r>
    </w:p>
    <w:p w14:paraId="31C307D3" w14:textId="5053A170" w:rsidR="00CF34EF" w:rsidRDefault="00CF34EF" w:rsidP="00CF34EF">
      <w:pPr>
        <w:pStyle w:val="ListParagraph"/>
        <w:numPr>
          <w:ilvl w:val="0"/>
          <w:numId w:val="6"/>
        </w:numPr>
        <w:divId w:val="2049255192"/>
      </w:pPr>
      <w:r>
        <w:t>Market Facilitates Healthcare Sector Improvement: Data-driven investments and service enhancements</w:t>
      </w:r>
    </w:p>
    <w:p w14:paraId="58F5E661" w14:textId="00797C43" w:rsidR="00CF34EF" w:rsidRDefault="00CF34EF" w:rsidP="00CF34EF">
      <w:pPr>
        <w:pStyle w:val="ListParagraph"/>
        <w:numPr>
          <w:ilvl w:val="0"/>
          <w:numId w:val="6"/>
        </w:numPr>
        <w:divId w:val="2049255192"/>
      </w:pPr>
      <w:r>
        <w:t>Market Enables Value-Driven Healthcare Sector: KPIs and goals to measure progress</w:t>
      </w:r>
    </w:p>
    <w:p w14:paraId="03AE1144" w14:textId="25D94874" w:rsidR="00CF34EF" w:rsidRDefault="00CF34EF" w:rsidP="00CF34EF">
      <w:pPr>
        <w:pStyle w:val="ListParagraph"/>
        <w:numPr>
          <w:ilvl w:val="0"/>
          <w:numId w:val="6"/>
        </w:numPr>
        <w:divId w:val="2049255192"/>
      </w:pPr>
      <w:r>
        <w:t>Market is Overseen by a Progressive Regulator: Transparency and trust through validated data.</w:t>
      </w:r>
    </w:p>
    <w:p w14:paraId="47D922DD" w14:textId="570CCD1F" w:rsidR="00CF34EF" w:rsidRDefault="00CF34EF" w:rsidP="00CF34EF">
      <w:pPr>
        <w:pStyle w:val="ListParagraph"/>
        <w:numPr>
          <w:ilvl w:val="0"/>
          <w:numId w:val="6"/>
        </w:numPr>
        <w:divId w:val="2049255192"/>
      </w:pPr>
      <w:r>
        <w:t>Market Supports Digital Excellence: Interconnected technologies for data sharing and program success (Council of Health Insurance 2025c).</w:t>
      </w:r>
    </w:p>
    <w:p w14:paraId="701B44DC" w14:textId="2851A009" w:rsidR="00CF34EF" w:rsidRDefault="00337D0D" w:rsidP="00CF34EF">
      <w:pPr>
        <w:divId w:val="2049255192"/>
      </w:pPr>
      <w:proofErr w:type="spellStart"/>
      <w:r>
        <w:t>xxxxxxx</w:t>
      </w:r>
      <w:proofErr w:type="spellEnd"/>
    </w:p>
    <w:p w14:paraId="733CE20B" w14:textId="1F7176FF" w:rsidR="00277AA8" w:rsidRPr="00BC454F" w:rsidRDefault="00CF34EF" w:rsidP="00337D0D">
      <w:pPr>
        <w:spacing w:after="0"/>
        <w:divId w:val="2049255192"/>
        <w:rPr>
          <w:rStyle w:val="SubtleEmphasis"/>
          <w:b/>
          <w:bCs/>
          <w:i w:val="0"/>
          <w:iCs w:val="0"/>
        </w:rPr>
      </w:pPr>
      <w:r w:rsidRPr="00BC454F">
        <w:rPr>
          <w:rStyle w:val="SubtleEmphasis"/>
          <w:b/>
          <w:bCs/>
          <w:i w:val="0"/>
          <w:iCs w:val="0"/>
        </w:rPr>
        <w:t xml:space="preserve">Figure </w:t>
      </w:r>
      <w:r w:rsidR="00227EDD" w:rsidRPr="00BC454F">
        <w:rPr>
          <w:rStyle w:val="SubtleEmphasis"/>
          <w:b/>
          <w:bCs/>
          <w:i w:val="0"/>
          <w:iCs w:val="0"/>
        </w:rPr>
        <w:t>2</w:t>
      </w:r>
      <w:r w:rsidRPr="00BC454F">
        <w:rPr>
          <w:rStyle w:val="SubtleEmphasis"/>
          <w:b/>
          <w:bCs/>
          <w:i w:val="0"/>
          <w:iCs w:val="0"/>
        </w:rPr>
        <w:t>. Five Aspects of Market Readiness and PROMs Strategy Correlation</w:t>
      </w:r>
    </w:p>
    <w:p w14:paraId="1B235886" w14:textId="48836169" w:rsidR="00CF34EF" w:rsidRPr="00411667" w:rsidRDefault="00CF34EF" w:rsidP="00337D0D">
      <w:pPr>
        <w:spacing w:after="0"/>
        <w:divId w:val="2049255192"/>
        <w:rPr>
          <w:rStyle w:val="SubtleEmphasis"/>
        </w:rPr>
      </w:pPr>
      <w:r w:rsidRPr="00411667">
        <w:rPr>
          <w:rStyle w:val="SubtleEmphasis"/>
        </w:rPr>
        <w:t>The table aligns each aspect of market readiness with its strategic impact on PROMs implementation. Source: Council of Health Insurance 2025c</w:t>
      </w:r>
    </w:p>
    <w:p w14:paraId="1F2AA274" w14:textId="77777777" w:rsidR="00337D0D" w:rsidRDefault="00337D0D">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1B109A54" w14:textId="6A19E31C" w:rsidR="00A96F21" w:rsidRPr="0062584A" w:rsidRDefault="00A96F21" w:rsidP="00BB3062">
      <w:pPr>
        <w:pStyle w:val="Heading3"/>
        <w:divId w:val="2049255192"/>
      </w:pPr>
      <w:r w:rsidRPr="0062584A">
        <w:t xml:space="preserve">Four Step Implementation Plan and Roadmap </w:t>
      </w:r>
    </w:p>
    <w:p w14:paraId="34DD80DA" w14:textId="6F3A004E" w:rsidR="00732B63"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The CHI proposes a four-step roadmap for PROMs implementation:</w:t>
      </w:r>
    </w:p>
    <w:p w14:paraId="30A50D0E" w14:textId="77777777" w:rsidR="00732B63" w:rsidRDefault="00732B63">
      <w:pPr>
        <w:pStyle w:val="my-0"/>
        <w:numPr>
          <w:ilvl w:val="0"/>
          <w:numId w:val="1"/>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Measure Market Maturity and Stakeholder Value Proposition:</w:t>
      </w:r>
      <w:r>
        <w:rPr>
          <w:rFonts w:ascii="Segoe UI" w:hAnsi="Segoe UI" w:cs="Segoe UI"/>
        </w:rPr>
        <w:br/>
        <w:t>Stakeholder assessment tools and focus groups are used to gauge market readiness and identify value propositions for different stakeholders.</w:t>
      </w:r>
    </w:p>
    <w:p w14:paraId="46F28E1A" w14:textId="77777777" w:rsidR="00732B63" w:rsidRDefault="00732B63">
      <w:pPr>
        <w:pStyle w:val="my-0"/>
        <w:numPr>
          <w:ilvl w:val="0"/>
          <w:numId w:val="1"/>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Integrate PREMs and PROMs for Standardized Data Collection:</w:t>
      </w:r>
      <w:r>
        <w:rPr>
          <w:rFonts w:ascii="Segoe UI" w:hAnsi="Segoe UI" w:cs="Segoe UI"/>
        </w:rPr>
        <w:br/>
        <w:t>Existing PREMs (Patient-Reported Experience Measures) are combined with PROMs to develop robust, validated instruments, such as the Patient Health Questionnaire and EQ-5D, adapted for the Saudi context.</w:t>
      </w:r>
    </w:p>
    <w:p w14:paraId="6242683D" w14:textId="77777777" w:rsidR="00732B63" w:rsidRDefault="00732B63">
      <w:pPr>
        <w:pStyle w:val="my-0"/>
        <w:numPr>
          <w:ilvl w:val="0"/>
          <w:numId w:val="1"/>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Create Roadmap for Market Maturity and Compliance:</w:t>
      </w:r>
      <w:r>
        <w:rPr>
          <w:rFonts w:ascii="Segoe UI" w:hAnsi="Segoe UI" w:cs="Segoe UI"/>
        </w:rPr>
        <w:br/>
        <w:t>Guidance is provided for resource allocation, compliance, and prioritizing recommendations to bridge gaps.</w:t>
      </w:r>
    </w:p>
    <w:p w14:paraId="28A5E279" w14:textId="77777777" w:rsidR="00732B63" w:rsidRDefault="00732B63">
      <w:pPr>
        <w:pStyle w:val="my-0"/>
        <w:numPr>
          <w:ilvl w:val="0"/>
          <w:numId w:val="1"/>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Identify Roadblocks to Implementation:</w:t>
      </w:r>
      <w:r>
        <w:rPr>
          <w:rFonts w:ascii="Segoe UI" w:hAnsi="Segoe UI" w:cs="Segoe UI"/>
        </w:rPr>
        <w:br/>
        <w:t xml:space="preserve">Barriers such as market readiness, data collection challenges, and lack of standardized tools are </w:t>
      </w:r>
      <w:proofErr w:type="spellStart"/>
      <w:r>
        <w:rPr>
          <w:rFonts w:ascii="Segoe UI" w:hAnsi="Segoe UI" w:cs="Segoe UI"/>
        </w:rPr>
        <w:t>analyzed</w:t>
      </w:r>
      <w:proofErr w:type="spellEnd"/>
      <w:r>
        <w:rPr>
          <w:rFonts w:ascii="Segoe UI" w:hAnsi="Segoe UI" w:cs="Segoe UI"/>
        </w:rPr>
        <w:t>, with mitigation strategies proposed (Council of Health Insurance 2025b).</w:t>
      </w:r>
    </w:p>
    <w:p w14:paraId="79273732" w14:textId="453D300E" w:rsidR="00C2533C" w:rsidRDefault="00C2533C" w:rsidP="00C2533C">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roofErr w:type="spellStart"/>
      <w:r>
        <w:rPr>
          <w:rStyle w:val="Strong"/>
          <w:rFonts w:ascii="Segoe UI" w:hAnsi="Segoe UI" w:cs="Segoe UI"/>
          <w:bdr w:val="single" w:sz="2" w:space="0" w:color="E5E7EB" w:frame="1"/>
        </w:rPr>
        <w:t>xxxxx</w:t>
      </w:r>
      <w:proofErr w:type="spellEnd"/>
    </w:p>
    <w:p w14:paraId="7EEE0E86" w14:textId="1C6F0264" w:rsidR="00732B63"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 xml:space="preserve">Figure </w:t>
      </w:r>
      <w:r w:rsidR="00A96F21">
        <w:rPr>
          <w:rStyle w:val="Strong"/>
          <w:rFonts w:ascii="Segoe UI" w:hAnsi="Segoe UI" w:cs="Segoe UI"/>
          <w:bdr w:val="single" w:sz="2" w:space="0" w:color="E5E7EB" w:frame="1"/>
        </w:rPr>
        <w:t>3</w:t>
      </w:r>
      <w:r>
        <w:rPr>
          <w:rStyle w:val="Strong"/>
          <w:rFonts w:ascii="Segoe UI" w:hAnsi="Segoe UI" w:cs="Segoe UI"/>
          <w:bdr w:val="single" w:sz="2" w:space="0" w:color="E5E7EB" w:frame="1"/>
        </w:rPr>
        <w:t>. Four-step Implementation Plan and Roadmap for PROMs.</w:t>
      </w:r>
      <w:r>
        <w:rPr>
          <w:rFonts w:ascii="Segoe UI" w:hAnsi="Segoe UI" w:cs="Segoe UI"/>
        </w:rPr>
        <w:br/>
      </w:r>
      <w:r>
        <w:rPr>
          <w:rStyle w:val="Emphasis"/>
          <w:rFonts w:ascii="Segoe UI" w:hAnsi="Segoe UI" w:cs="Segoe UI"/>
          <w:bdr w:val="single" w:sz="2" w:space="0" w:color="E5E7EB" w:frame="1"/>
        </w:rPr>
        <w:t>This figure summarizes the four key steps: Measure, Integrate, Create, and Identify. Source: Council of Health Insurance 2025b.</w:t>
      </w:r>
    </w:p>
    <w:p w14:paraId="6E030BB5" w14:textId="362D8DD6" w:rsidR="00732B63" w:rsidRDefault="00732B63">
      <w:pPr>
        <w:spacing w:before="240" w:after="240"/>
        <w:divId w:val="2049255192"/>
        <w:rPr>
          <w:rFonts w:ascii="Segoe UI" w:eastAsia="Times New Roman" w:hAnsi="Segoe UI" w:cs="Segoe UI"/>
        </w:rPr>
      </w:pPr>
      <w:r>
        <w:rPr>
          <w:rFonts w:ascii="Segoe UI" w:eastAsia="Times New Roman" w:hAnsi="Segoe UI" w:cs="Segoe UI"/>
          <w:noProof/>
        </w:rPr>
        <mc:AlternateContent>
          <mc:Choice Requires="wps">
            <w:drawing>
              <wp:inline distT="0" distB="0" distL="0" distR="0" wp14:anchorId="31132FCD" wp14:editId="0CA72A81">
                <wp:extent cx="5731510" cy="4445"/>
                <wp:effectExtent l="0" t="31750" r="0" b="36830"/>
                <wp:docPr id="37865699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AEBCAA" id="Rectangle 7"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05E51A9D" w14:textId="77777777" w:rsidR="00732B63" w:rsidRDefault="00732B63">
      <w:pPr>
        <w:pStyle w:val="Heading2"/>
        <w:pBdr>
          <w:top w:val="single" w:sz="2" w:space="0" w:color="E5E7EB"/>
          <w:left w:val="single" w:sz="2" w:space="0" w:color="E5E7EB"/>
          <w:bottom w:val="single" w:sz="2" w:space="0" w:color="E5E7EB"/>
          <w:right w:val="single" w:sz="2" w:space="0" w:color="E5E7EB"/>
        </w:pBdr>
        <w:divId w:val="2049255192"/>
        <w:rPr>
          <w:rFonts w:ascii="fkGrotesk Fallback" w:eastAsia="Times New Roman" w:hAnsi="fkGrotesk Fallback" w:cs="Segoe UI"/>
        </w:rPr>
      </w:pPr>
      <w:r>
        <w:rPr>
          <w:rFonts w:ascii="fkGrotesk Fallback" w:eastAsia="Times New Roman" w:hAnsi="fkGrotesk Fallback" w:cs="Segoe UI"/>
        </w:rPr>
        <w:t>Discussion</w:t>
      </w:r>
    </w:p>
    <w:p w14:paraId="5EDA444C" w14:textId="73DB2294" w:rsidR="00327507"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Saudi Arabia’s PROMs integration strategy is consistent with international best practices, which demonstrate that public reporting of outcomes can drive quality improvement, transparency, and patient empowerment</w:t>
      </w:r>
      <w:r>
        <w:rPr>
          <w:rStyle w:val="whitespace-nowrap"/>
          <w:rFonts w:ascii="Segoe UI" w:hAnsi="Segoe UI" w:cs="Segoe UI"/>
          <w:bdr w:val="single" w:sz="2" w:space="0" w:color="E5E7EB" w:frame="1"/>
        </w:rPr>
        <w:t>.</w:t>
      </w:r>
      <w:r>
        <w:rPr>
          <w:rFonts w:ascii="Segoe UI" w:hAnsi="Segoe UI" w:cs="Segoe UI"/>
        </w:rPr>
        <w:t> The feasibility study reveals progress but also highlights challenges, including the need for culturally validated tools, digital infrastructure, and robust stakeholder engagement. Addressing these gaps is essential for the success of mandatory PROMs implementation.</w:t>
      </w:r>
    </w:p>
    <w:p w14:paraId="4E3379A5" w14:textId="77777777" w:rsidR="00E47B32" w:rsidRDefault="00E47B32">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104EDF61" w14:textId="7DCA616E" w:rsidR="00010E3A" w:rsidRPr="005D5BC1" w:rsidRDefault="008D2AB9" w:rsidP="00327507">
      <w:pPr>
        <w:pStyle w:val="Heading4"/>
        <w:divId w:val="2049255192"/>
        <w:rPr>
          <w:i w:val="0"/>
          <w:iCs w:val="0"/>
        </w:rPr>
      </w:pPr>
      <w:r w:rsidRPr="005D5BC1">
        <w:rPr>
          <w:i w:val="0"/>
          <w:iCs w:val="0"/>
        </w:rPr>
        <w:t xml:space="preserve">In-depth Analysis of Feasibility Study </w:t>
      </w:r>
    </w:p>
    <w:p w14:paraId="3CDC421D"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68E11D03" w14:textId="5664907A" w:rsidR="00010E3A" w:rsidRDefault="00E5526D">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 xml:space="preserve">What is not mentioned and must be tackled are the shortcomings that </w:t>
      </w:r>
      <w:r w:rsidR="00DC4F0D">
        <w:rPr>
          <w:rFonts w:ascii="Segoe UI" w:hAnsi="Segoe UI" w:cs="Segoe UI"/>
        </w:rPr>
        <w:t xml:space="preserve">the feasibility study </w:t>
      </w:r>
      <w:r w:rsidR="00010E3A">
        <w:rPr>
          <w:rFonts w:ascii="Segoe UI" w:hAnsi="Segoe UI" w:cs="Segoe UI"/>
        </w:rPr>
        <w:t>illustrates</w:t>
      </w:r>
      <w:r w:rsidR="00DC4F0D">
        <w:rPr>
          <w:rFonts w:ascii="Segoe UI" w:hAnsi="Segoe UI" w:cs="Segoe UI"/>
        </w:rPr>
        <w:t>. For instance,</w:t>
      </w:r>
      <w:r w:rsidR="005556F3">
        <w:rPr>
          <w:rFonts w:ascii="Segoe UI" w:hAnsi="Segoe UI" w:cs="Segoe UI"/>
        </w:rPr>
        <w:t xml:space="preserve"> there is a </w:t>
      </w:r>
      <w:r w:rsidR="00010E3A">
        <w:rPr>
          <w:rFonts w:ascii="Segoe UI" w:hAnsi="Segoe UI" w:cs="Segoe UI"/>
        </w:rPr>
        <w:t>significant gap between the current and optimal states of PROMs implementation in Saudi Arabia. While a majority of facilities have adopted PROMs tools, only a third have integrated them into routine care, revealing a disconnect between adoption and operationalization. The lack of culturally validated instruments, such as Arabic translations of the EQ-5D, further hampers effective use. This highlights the urgent need for national standardization and localization of PROMs tools. Achieving the optimal stat</w:t>
      </w:r>
      <w:r w:rsidR="0052492F">
        <w:rPr>
          <w:rFonts w:ascii="Segoe UI" w:hAnsi="Segoe UI" w:cs="Segoe UI"/>
        </w:rPr>
        <w:t xml:space="preserve">e </w:t>
      </w:r>
      <w:r w:rsidR="00010E3A">
        <w:rPr>
          <w:rFonts w:ascii="Segoe UI" w:hAnsi="Segoe UI" w:cs="Segoe UI"/>
        </w:rPr>
        <w:t>where data collection is routine and insights directly inform patient empowerment and system performance</w:t>
      </w:r>
      <w:r w:rsidR="005D5BC1">
        <w:rPr>
          <w:rFonts w:ascii="Segoe UI" w:hAnsi="Segoe UI" w:cs="Segoe UI"/>
        </w:rPr>
        <w:t xml:space="preserve"> </w:t>
      </w:r>
      <w:r w:rsidR="00010E3A">
        <w:rPr>
          <w:rFonts w:ascii="Segoe UI" w:hAnsi="Segoe UI" w:cs="Segoe UI"/>
        </w:rPr>
        <w:t>will require both policy mandates and capacity-building initiatives targeting clinical staff and administrators.</w:t>
      </w:r>
    </w:p>
    <w:p w14:paraId="3C41DFE9"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6C14A83E" w14:textId="1DF3EE97" w:rsidR="00010E3A" w:rsidRDefault="00C868F8" w:rsidP="002A17AD">
      <w:pPr>
        <w:pStyle w:val="Heading4"/>
        <w:divId w:val="2049255192"/>
      </w:pPr>
      <w:r>
        <w:t>I</w:t>
      </w:r>
      <w:r w:rsidR="00010E3A">
        <w:t xml:space="preserve">mplementation Plan and Roadmap </w:t>
      </w:r>
    </w:p>
    <w:p w14:paraId="6F874217"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32FF5807" w14:textId="2354C928"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The four-step roadmap provides a structured approach to PROMs integration. The initial focus on market maturity and stakeholder value ensures that implementation is context-sensitive and stakeholder-driven. The explicit integration of PREMs and PROMs for standardized data collection addresses the need for comprehensive, patient-</w:t>
      </w:r>
      <w:proofErr w:type="spellStart"/>
      <w:r>
        <w:rPr>
          <w:rFonts w:ascii="Segoe UI" w:hAnsi="Segoe UI" w:cs="Segoe UI"/>
        </w:rPr>
        <w:t>centered</w:t>
      </w:r>
      <w:proofErr w:type="spellEnd"/>
      <w:r>
        <w:rPr>
          <w:rFonts w:ascii="Segoe UI" w:hAnsi="Segoe UI" w:cs="Segoe UI"/>
        </w:rPr>
        <w:t xml:space="preserve"> metrics. The roadmap’s emphasis on compliance and the identification of implementation barriers reflects international best practices, underscoring the importance of iterative evaluation and adaptation. Notably, the roadmap aligns with the principles of value-based healthcare, positioning PROMs as both a clinical and strategic asset.</w:t>
      </w:r>
    </w:p>
    <w:p w14:paraId="5DFD4D2B" w14:textId="77777777" w:rsidR="0075484E" w:rsidRDefault="0075484E">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0ABEB525" w14:textId="418E0614" w:rsidR="00010E3A" w:rsidRPr="002A17AD" w:rsidRDefault="00C868F8" w:rsidP="002A17AD">
      <w:pPr>
        <w:pStyle w:val="Heading4"/>
        <w:divId w:val="2049255192"/>
      </w:pPr>
      <w:r>
        <w:t xml:space="preserve">The </w:t>
      </w:r>
      <w:r w:rsidR="00010E3A">
        <w:t xml:space="preserve">Five Aspects of Market Readiness </w:t>
      </w:r>
    </w:p>
    <w:p w14:paraId="3CB5E878" w14:textId="68FCF399" w:rsidR="00010E3A" w:rsidRDefault="0089563E">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 xml:space="preserve">Simplifying markets into five </w:t>
      </w:r>
      <w:r w:rsidR="00082516">
        <w:rPr>
          <w:rFonts w:ascii="Segoe UI" w:hAnsi="Segoe UI" w:cs="Segoe UI"/>
        </w:rPr>
        <w:t>key points was essen</w:t>
      </w:r>
      <w:r w:rsidR="009F5C4C">
        <w:rPr>
          <w:rFonts w:ascii="Segoe UI" w:hAnsi="Segoe UI" w:cs="Segoe UI"/>
        </w:rPr>
        <w:t xml:space="preserve">tial as markets are </w:t>
      </w:r>
      <w:r w:rsidR="00010E3A">
        <w:rPr>
          <w:rFonts w:ascii="Segoe UI" w:hAnsi="Segoe UI" w:cs="Segoe UI"/>
        </w:rPr>
        <w:t>demonst</w:t>
      </w:r>
      <w:r w:rsidR="009F5C4C">
        <w:rPr>
          <w:rFonts w:ascii="Segoe UI" w:hAnsi="Segoe UI" w:cs="Segoe UI"/>
        </w:rPr>
        <w:t xml:space="preserve">rably </w:t>
      </w:r>
      <w:r w:rsidR="00010E3A">
        <w:rPr>
          <w:rFonts w:ascii="Segoe UI" w:hAnsi="Segoe UI" w:cs="Segoe UI"/>
        </w:rPr>
        <w:t xml:space="preserve">multidimensional </w:t>
      </w:r>
      <w:r w:rsidR="00C7047D">
        <w:rPr>
          <w:rFonts w:ascii="Segoe UI" w:hAnsi="Segoe UI" w:cs="Segoe UI"/>
        </w:rPr>
        <w:t xml:space="preserve">in </w:t>
      </w:r>
      <w:r w:rsidR="00010E3A">
        <w:rPr>
          <w:rFonts w:ascii="Segoe UI" w:hAnsi="Segoe UI" w:cs="Segoe UI"/>
        </w:rPr>
        <w:t xml:space="preserve">nature </w:t>
      </w:r>
      <w:r w:rsidR="00C7047D">
        <w:rPr>
          <w:rFonts w:ascii="Segoe UI" w:hAnsi="Segoe UI" w:cs="Segoe UI"/>
        </w:rPr>
        <w:t xml:space="preserve">and as such difficult to assess in terms </w:t>
      </w:r>
      <w:r w:rsidR="00010E3A">
        <w:rPr>
          <w:rFonts w:ascii="Segoe UI" w:hAnsi="Segoe UI" w:cs="Segoe UI"/>
        </w:rPr>
        <w:t>of market readiness for PROMs. The alignment between market characteristics—such as patient-centricity, sector improvement, and digital excellence—and PROMs strategy is critical for sustainable implementation. For instance, digital excellence not only facilitates data sharing but also supports real-time analytics and feedback loops, which are essential for continuous quality improvement. The role of a progressive regulator is highlighted as a catalyst for transparency and trust, both of which are necessary for public reporting to drive meaningful change. This framework can serve as a diagnostic tool for identifying strengths and gaps in the Saudi health system’s readiness for PROMs integrati</w:t>
      </w:r>
      <w:r w:rsidR="003C7C47">
        <w:rPr>
          <w:rFonts w:ascii="Segoe UI" w:hAnsi="Segoe UI" w:cs="Segoe UI"/>
        </w:rPr>
        <w:t>on.</w:t>
      </w:r>
    </w:p>
    <w:p w14:paraId="305FCD1E" w14:textId="77777777" w:rsidR="00211BAB" w:rsidRDefault="00211BAB">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3D6B8B9F" w14:textId="15BDE0A5" w:rsidR="00010E3A" w:rsidRDefault="00010E3A" w:rsidP="008C2102">
      <w:pPr>
        <w:pStyle w:val="Heading4"/>
        <w:divId w:val="2049255192"/>
      </w:pPr>
      <w:r>
        <w:t>Stakeholder Engagement</w:t>
      </w:r>
    </w:p>
    <w:p w14:paraId="61D82D59"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3D50A053"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Effective stakeholder engagement is widely recognized as a critical success factor in PROMs implementation. International experience shows that early and sustained involvement of clinicians, patients, administrators, and policymakers leads to higher adoption rates and more meaningful use of PROMs data (OECD 2025). In the Netherlands, for example, stakeholders are involved in selecting PROMs instruments, establishing reporting standards, and interpreting results, fostering a sense of ownership and accountability.</w:t>
      </w:r>
    </w:p>
    <w:p w14:paraId="0E4B181E"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71E8F4A3"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The CHI feasibility study reflects this approach by incorporating stakeholder assessment tools and focus groups to measure market maturity and identify value propositions (see Figure 2). Engaging stakeholders ensures that PROMs instruments are relevant, feasible to implement, and aligned with clinical workflows. In Saudi Arabia, particular attention should be given to involving patients and caregivers in the design and adaptation of PROMs tools, as well as to providing training and support for clinicians to integrate PROMs into routine care. This collaborative approach can help overcome resistance, enhance data quality, and ensure that PROMs data are used to drive tangible improvements in patient care.</w:t>
      </w:r>
    </w:p>
    <w:p w14:paraId="77CE9B1F"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4C21F2AA" w14:textId="77777777" w:rsidR="00010E3A" w:rsidRDefault="00010E3A" w:rsidP="008C2102">
      <w:pPr>
        <w:pStyle w:val="Heading4"/>
        <w:divId w:val="2049255192"/>
      </w:pPr>
      <w:r>
        <w:t>Digital Infrastructure</w:t>
      </w:r>
    </w:p>
    <w:p w14:paraId="4D674E15" w14:textId="77777777"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p>
    <w:p w14:paraId="18F8152C" w14:textId="32877F24" w:rsidR="00010E3A" w:rsidRDefault="00010E3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A robust digital infrastructure is essential for the successful integration and scaling of PROMs within health systems. Internationally, countries that have achieved widespread PROMs adoption have invested in interoperable electronic health records (EHRs), secure data exchange platforms, and user-friendly digital interfaces for both patients and providers (Smith &amp; Brown 2022). For instance, Australia’s My Health Record system and Sweden’s national e-health platform enable seamless collection, aggregation, and analysis of PROMs data.</w:t>
      </w:r>
    </w:p>
    <w:p w14:paraId="046E9E74" w14:textId="77777777" w:rsidR="00732B63" w:rsidRDefault="00732B63">
      <w:pPr>
        <w:spacing w:before="240" w:after="240"/>
        <w:divId w:val="2049255192"/>
        <w:rPr>
          <w:rFonts w:ascii="Segoe UI" w:eastAsia="Times New Roman" w:hAnsi="Segoe UI" w:cs="Segoe UI"/>
        </w:rPr>
      </w:pPr>
      <w:r>
        <w:rPr>
          <w:rFonts w:ascii="Segoe UI" w:eastAsia="Times New Roman" w:hAnsi="Segoe UI" w:cs="Segoe UI"/>
          <w:noProof/>
        </w:rPr>
        <mc:AlternateContent>
          <mc:Choice Requires="wps">
            <w:drawing>
              <wp:inline distT="0" distB="0" distL="0" distR="0" wp14:anchorId="301D309F" wp14:editId="6ADF0E03">
                <wp:extent cx="5731510" cy="4445"/>
                <wp:effectExtent l="0" t="31750" r="0" b="36830"/>
                <wp:docPr id="187916976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1C9920" id="Rectangle 6"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78551FD3" w14:textId="77777777" w:rsidR="0035117E" w:rsidRDefault="00732B63">
      <w:pPr>
        <w:spacing w:before="240" w:after="240"/>
        <w:divId w:val="2049255192"/>
      </w:pPr>
      <w:proofErr w:type="spellStart"/>
      <w:r>
        <w:rPr>
          <w:rFonts w:ascii="fkGrotesk Fallback" w:eastAsia="Times New Roman" w:hAnsi="fkGrotesk Fallback" w:cs="Segoe UI"/>
        </w:rPr>
        <w:t>C</w:t>
      </w:r>
      <w:r w:rsidR="0035117E">
        <w:t>The</w:t>
      </w:r>
      <w:proofErr w:type="spellEnd"/>
      <w:r w:rsidR="0035117E">
        <w:t xml:space="preserve"> CHIs feasibility study highlights digital excellence as a foundational pillar for PROMs success. Current challenges include limited interoperability between health information systems, variable adoption of EHRs, and the need for secure, scalable platforms for PROMs data collection and reporting. Addressing these challenges will require coordinated investment in digital infrastructure, the development of national standards for data exchange, and the integration of PROMs modules into existing EHR systems. Additionally, ensuring data privacy and security is paramount to building trust among patients and providers and supporting the </w:t>
      </w:r>
      <w:proofErr w:type="spellStart"/>
      <w:r w:rsidR="0035117E">
        <w:t>brtion</w:t>
      </w:r>
      <w:proofErr w:type="spellEnd"/>
      <w:r w:rsidR="0035117E">
        <w:t>, aggregation, and analysis of PROMs data.</w:t>
      </w:r>
    </w:p>
    <w:p w14:paraId="3BBDD25F" w14:textId="343EB9D9" w:rsidR="0035117E" w:rsidRPr="00EB0F42" w:rsidRDefault="0035117E" w:rsidP="00EB0F42">
      <w:pPr>
        <w:pStyle w:val="Heading2"/>
        <w:divId w:val="2049255192"/>
        <w:rPr>
          <w:rFonts w:ascii="Segoe UI" w:eastAsia="Times New Roman" w:hAnsi="Segoe UI" w:cs="Segoe UI"/>
        </w:rPr>
      </w:pPr>
      <w:r>
        <w:rPr>
          <w:rFonts w:ascii="Segoe UI" w:eastAsia="Times New Roman" w:hAnsi="Segoe UI" w:cs="Segoe UI"/>
        </w:rPr>
        <w:t xml:space="preserve"> </w:t>
      </w:r>
      <w:r>
        <w:rPr>
          <w:rFonts w:eastAsia="Times New Roman"/>
        </w:rPr>
        <w:t>Conclusions</w:t>
      </w:r>
    </w:p>
    <w:p w14:paraId="7431389D" w14:textId="1FEE916B" w:rsidR="00732B63" w:rsidRDefault="00E06A95">
      <w:pPr>
        <w:spacing w:before="240" w:after="240"/>
        <w:divId w:val="2049255192"/>
        <w:rPr>
          <w:rFonts w:ascii="Segoe UI" w:eastAsia="Times New Roman" w:hAnsi="Segoe UI" w:cs="Segoe UI"/>
        </w:rPr>
      </w:pPr>
      <w:r>
        <w:rPr>
          <w:rFonts w:ascii="Segoe UI" w:eastAsia="Times New Roman" w:hAnsi="Segoe UI" w:cs="Segoe UI"/>
        </w:rPr>
        <w:t>The CHIs feasibility study highlights digital excellence as a foundational pillar for PROMs success. Current challenges include limited interoperability between health information systems, variable adoption of EHRs, and the need for secure, scalable platforms for PROMs data collection and reporting. Addressing these challenges will require coordinated investment in digital infrastructure, the development of national standards for data exchange, and the integration of PROMs modules into existing EHR systems. Additionally, ensuring data privacy and security is paramount to building trust among patients and providers and supporting the broader goals of digital transformation in healthcare.</w:t>
      </w:r>
      <w:r w:rsidR="00732B63">
        <w:rPr>
          <w:rFonts w:ascii="Segoe UI" w:eastAsia="Times New Roman" w:hAnsi="Segoe UI" w:cs="Segoe UI"/>
          <w:noProof/>
        </w:rPr>
        <mc:AlternateContent>
          <mc:Choice Requires="wps">
            <w:drawing>
              <wp:inline distT="0" distB="0" distL="0" distR="0" wp14:anchorId="0A298985" wp14:editId="768D73AD">
                <wp:extent cx="5731510" cy="4445"/>
                <wp:effectExtent l="0" t="31750" r="0" b="36830"/>
                <wp:docPr id="41032754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29474A" id="Rectangle 5"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1F55D832" w14:textId="77777777" w:rsidR="00732B63" w:rsidRDefault="00732B63">
      <w:pPr>
        <w:pStyle w:val="Heading2"/>
        <w:pBdr>
          <w:top w:val="single" w:sz="2" w:space="0" w:color="E5E7EB"/>
          <w:left w:val="single" w:sz="2" w:space="0" w:color="E5E7EB"/>
          <w:bottom w:val="single" w:sz="2" w:space="0" w:color="E5E7EB"/>
          <w:right w:val="single" w:sz="2" w:space="0" w:color="E5E7EB"/>
        </w:pBdr>
        <w:divId w:val="2049255192"/>
        <w:rPr>
          <w:rFonts w:ascii="fkGrotesk Fallback" w:eastAsia="Times New Roman" w:hAnsi="fkGrotesk Fallback" w:cs="Segoe UI"/>
        </w:rPr>
      </w:pPr>
      <w:r>
        <w:rPr>
          <w:rFonts w:ascii="fkGrotesk Fallback" w:eastAsia="Times New Roman" w:hAnsi="fkGrotesk Fallback" w:cs="Segoe UI"/>
        </w:rPr>
        <w:t>Availability of Data and Materials</w:t>
      </w:r>
    </w:p>
    <w:p w14:paraId="149E5605" w14:textId="38081A0B" w:rsidR="00732B63" w:rsidRPr="00592EFA" w:rsidRDefault="00732B63" w:rsidP="00592EFA">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The datasets supporting the conclusions of this article are included within the article and its figures.</w:t>
      </w:r>
    </w:p>
    <w:p w14:paraId="1956B2A5" w14:textId="77777777" w:rsidR="00732B63" w:rsidRDefault="00732B63">
      <w:pPr>
        <w:spacing w:before="240" w:after="240"/>
        <w:divId w:val="2049255192"/>
        <w:rPr>
          <w:rFonts w:ascii="Segoe UI" w:eastAsia="Times New Roman" w:hAnsi="Segoe UI" w:cs="Segoe UI"/>
        </w:rPr>
      </w:pPr>
      <w:r>
        <w:rPr>
          <w:rFonts w:ascii="Segoe UI" w:eastAsia="Times New Roman" w:hAnsi="Segoe UI" w:cs="Segoe UI"/>
          <w:noProof/>
        </w:rPr>
        <mc:AlternateContent>
          <mc:Choice Requires="wps">
            <w:drawing>
              <wp:inline distT="0" distB="0" distL="0" distR="0" wp14:anchorId="13DB782F" wp14:editId="659E6EAD">
                <wp:extent cx="5731510" cy="4445"/>
                <wp:effectExtent l="0" t="31750" r="0" b="36830"/>
                <wp:docPr id="14525420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EC0A20" id="Rectangle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2E101997" w14:textId="77777777" w:rsidR="00732B63" w:rsidRDefault="00732B63">
      <w:pPr>
        <w:pStyle w:val="Heading2"/>
        <w:pBdr>
          <w:top w:val="single" w:sz="2" w:space="0" w:color="E5E7EB"/>
          <w:left w:val="single" w:sz="2" w:space="0" w:color="E5E7EB"/>
          <w:bottom w:val="single" w:sz="2" w:space="0" w:color="E5E7EB"/>
          <w:right w:val="single" w:sz="2" w:space="0" w:color="E5E7EB"/>
        </w:pBdr>
        <w:divId w:val="2049255192"/>
        <w:rPr>
          <w:rFonts w:ascii="fkGrotesk Fallback" w:eastAsia="Times New Roman" w:hAnsi="fkGrotesk Fallback" w:cs="Segoe UI"/>
        </w:rPr>
      </w:pPr>
      <w:r>
        <w:rPr>
          <w:rFonts w:ascii="fkGrotesk Fallback" w:eastAsia="Times New Roman" w:hAnsi="fkGrotesk Fallback" w:cs="Segoe UI"/>
        </w:rPr>
        <w:t>Declarations</w:t>
      </w:r>
    </w:p>
    <w:p w14:paraId="3AB291CB" w14:textId="04103031" w:rsidR="00732B63" w:rsidRDefault="00732B63">
      <w:pPr>
        <w:pStyle w:val="my-0"/>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Style w:val="Strong"/>
          <w:rFonts w:ascii="Segoe UI" w:hAnsi="Segoe UI" w:cs="Segoe UI"/>
          <w:bdr w:val="single" w:sz="2" w:space="0" w:color="E5E7EB" w:frame="1"/>
        </w:rPr>
        <w:t>Competing interests:</w:t>
      </w:r>
      <w:r>
        <w:rPr>
          <w:rFonts w:ascii="Segoe UI" w:hAnsi="Segoe UI" w:cs="Segoe UI"/>
        </w:rPr>
        <w:t> The authors declare that they have no competing interests</w:t>
      </w:r>
      <w:r w:rsidR="00AF4DA7">
        <w:rPr>
          <w:rFonts w:ascii="Segoe UI" w:hAnsi="Segoe UI" w:cs="Segoe UI"/>
        </w:rPr>
        <w:t xml:space="preserve"> and all editors, reviewers and </w:t>
      </w:r>
      <w:r w:rsidR="00467433">
        <w:rPr>
          <w:rFonts w:ascii="Segoe UI" w:hAnsi="Segoe UI" w:cs="Segoe UI"/>
        </w:rPr>
        <w:t>other third persons contributed equally and without prejudice.</w:t>
      </w:r>
      <w:r>
        <w:rPr>
          <w:rFonts w:ascii="Segoe UI" w:hAnsi="Segoe UI" w:cs="Segoe UI"/>
        </w:rPr>
        <w:br/>
      </w:r>
      <w:r>
        <w:rPr>
          <w:rStyle w:val="Strong"/>
          <w:rFonts w:ascii="Segoe UI" w:hAnsi="Segoe UI" w:cs="Segoe UI"/>
          <w:bdr w:val="single" w:sz="2" w:space="0" w:color="E5E7EB" w:frame="1"/>
        </w:rPr>
        <w:t>Acknowledgements:</w:t>
      </w:r>
      <w:r>
        <w:rPr>
          <w:rFonts w:ascii="Segoe UI" w:hAnsi="Segoe UI" w:cs="Segoe UI"/>
        </w:rPr>
        <w:t> We thank the Council of Health Insurance for access to the feasibility study documents.</w:t>
      </w:r>
    </w:p>
    <w:p w14:paraId="6F8FEDB6" w14:textId="77777777" w:rsidR="00732B63" w:rsidRDefault="00732B63">
      <w:pPr>
        <w:spacing w:before="240" w:after="240"/>
        <w:divId w:val="2049255192"/>
        <w:rPr>
          <w:rFonts w:ascii="Segoe UI" w:eastAsia="Times New Roman" w:hAnsi="Segoe UI" w:cs="Segoe UI"/>
        </w:rPr>
      </w:pPr>
      <w:r>
        <w:rPr>
          <w:rFonts w:ascii="Segoe UI" w:eastAsia="Times New Roman" w:hAnsi="Segoe UI" w:cs="Segoe UI"/>
          <w:noProof/>
        </w:rPr>
        <mc:AlternateContent>
          <mc:Choice Requires="wps">
            <w:drawing>
              <wp:inline distT="0" distB="0" distL="0" distR="0" wp14:anchorId="0A08C741" wp14:editId="0DD0CB61">
                <wp:extent cx="5731510" cy="4445"/>
                <wp:effectExtent l="0" t="31750" r="0" b="36830"/>
                <wp:docPr id="8692619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2D15EE" id="Rectangle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apjYTtwAAAAIAQAADwAAAGRy&#13;&#10;cy9kb3ducmV2LnhtbEyPwU7DMBBE70j9B2uRuFGHSpSSxqlSoNdKtEjAzY0XO2q8jmK3CX/PwqVc&#13;&#10;RlqNZnZesRp9K87YxyaQgrtpBgKpDqYhq+Btv7ldgIhJk9FtIFTwjRFW5eSq0LkJA73ieZes4BKK&#13;&#10;uVbgUupyKWPt0Os4DR0Se1+h9zrx2Vtpej1wuW/lLMvm0uuG+IPTHT45rI+7k1fw0n1uq3sbZfWe&#13;&#10;3McxrIeN21qlbq7H5yVLtQSRcEyXBPwy8H4oedghnMhE0SpgmvSn7D1mszmIg4IHELIs5H+A8gc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BqmNhO3AAAAAgBAAAPAAAAAAAAAAAAAAAA&#13;&#10;AI0EAABkcnMvZG93bnJldi54bWxQSwUGAAAAAAQABADzAAAAlgUAAAAA&#13;&#10;" filled="f">
                <w10:anchorlock/>
              </v:rect>
            </w:pict>
          </mc:Fallback>
        </mc:AlternateContent>
      </w:r>
    </w:p>
    <w:p w14:paraId="1CC6AB4C" w14:textId="5106C2E5" w:rsidR="00732B63" w:rsidRPr="00815C04" w:rsidRDefault="00732B63" w:rsidP="00815C04">
      <w:pPr>
        <w:pStyle w:val="Heading2"/>
        <w:pBdr>
          <w:top w:val="single" w:sz="2" w:space="0" w:color="E5E7EB"/>
          <w:left w:val="single" w:sz="2" w:space="0" w:color="E5E7EB"/>
          <w:bottom w:val="single" w:sz="2" w:space="0" w:color="E5E7EB"/>
          <w:right w:val="single" w:sz="2" w:space="0" w:color="E5E7EB"/>
        </w:pBdr>
        <w:divId w:val="2049255192"/>
        <w:rPr>
          <w:rFonts w:ascii="fkGrotesk Fallback" w:eastAsia="Times New Roman" w:hAnsi="fkGrotesk Fallback" w:cs="Segoe UI"/>
        </w:rPr>
      </w:pPr>
      <w:r>
        <w:rPr>
          <w:rFonts w:ascii="fkGrotesk Fallback" w:eastAsia="Times New Roman" w:hAnsi="fkGrotesk Fallback" w:cs="Segoe UI"/>
        </w:rPr>
        <w:t>References</w:t>
      </w:r>
    </w:p>
    <w:p w14:paraId="0CA64FF0" w14:textId="77777777" w:rsidR="00732B63" w:rsidRDefault="00732B63">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Council of Health Insurance 2025a. Feasibility Study Overview, Executive Summary – Feasibility Study, p. 9, viewed 17 June 2025, </w:t>
      </w:r>
      <w:hyperlink r:id="rId7" w:tgtFrame="_blank" w:history="1">
        <w:r>
          <w:rPr>
            <w:rStyle w:val="Hyperlink"/>
            <w:rFonts w:ascii="Segoe UI" w:hAnsi="Segoe UI" w:cs="Segoe UI"/>
            <w:bdr w:val="single" w:sz="2" w:space="0" w:color="E5E7EB" w:frame="1"/>
          </w:rPr>
          <w:t>https://pplx-res.cloudinary.com/image/upload/v1750174331/user_uploads/76220723/b49026f3-54c6-4684-94ad-a7a6b4d434ed/Screenshot_20250615-175211_Drive.jpg</w:t>
        </w:r>
      </w:hyperlink>
      <w:r>
        <w:rPr>
          <w:rFonts w:ascii="Segoe UI" w:hAnsi="Segoe UI" w:cs="Segoe UI"/>
        </w:rPr>
        <w:t>.</w:t>
      </w:r>
    </w:p>
    <w:p w14:paraId="63556F0B" w14:textId="77777777" w:rsidR="00732B63" w:rsidRDefault="00732B63">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Council of Health Insurance 2025b. Implementation Plan and Roadmap, Executive Summary – Feasibility Study, p. 17, viewed 17 June 2025, </w:t>
      </w:r>
      <w:hyperlink r:id="rId8" w:tgtFrame="_blank" w:history="1">
        <w:r>
          <w:rPr>
            <w:rStyle w:val="Hyperlink"/>
            <w:rFonts w:ascii="Segoe UI" w:hAnsi="Segoe UI" w:cs="Segoe UI"/>
            <w:bdr w:val="single" w:sz="2" w:space="0" w:color="E5E7EB" w:frame="1"/>
          </w:rPr>
          <w:t>https://pplx-res.cloudinary.com/image/upload/v1750174331/user_uploads/76220723/bb6104ad-697a-4718-a5cc-81087a858902/Screenshot_20250615-195640_Drive.jpg</w:t>
        </w:r>
      </w:hyperlink>
      <w:r>
        <w:rPr>
          <w:rFonts w:ascii="Segoe UI" w:hAnsi="Segoe UI" w:cs="Segoe UI"/>
        </w:rPr>
        <w:t>.</w:t>
      </w:r>
    </w:p>
    <w:p w14:paraId="314434F2" w14:textId="72B7BA03" w:rsidR="00732B63" w:rsidRPr="004240E4" w:rsidRDefault="00732B63" w:rsidP="004240E4">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rPr>
          <w:rFonts w:ascii="Segoe UI" w:hAnsi="Segoe UI" w:cs="Segoe UI"/>
        </w:rPr>
        <w:t>Council of Health Insurance 2025c. Five Aspects of Market Readiness and PROMs Strategy Correlation, Executive Summary – Feasibility Study, p. 23, viewed 17 June 2025, </w:t>
      </w:r>
      <w:hyperlink r:id="rId9" w:tgtFrame="_blank" w:history="1">
        <w:r>
          <w:rPr>
            <w:rStyle w:val="Hyperlink"/>
            <w:rFonts w:ascii="Segoe UI" w:hAnsi="Segoe UI" w:cs="Segoe UI"/>
            <w:bdr w:val="single" w:sz="2" w:space="0" w:color="E5E7EB" w:frame="1"/>
          </w:rPr>
          <w:t>https://pplx-res.cloudinary.com/image/upload/v1750174331/user_uploads/76220723/fa77a952-adca-44e4-891b-8b37fadbad0f/Screenshot_20250615-175849_Drive.jpg</w:t>
        </w:r>
      </w:hyperlink>
    </w:p>
    <w:p w14:paraId="42B3F6AD" w14:textId="55ED884B" w:rsidR="004240E4" w:rsidRPr="004240E4" w:rsidRDefault="004240E4" w:rsidP="004240E4">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divId w:val="2049255192"/>
        <w:rPr>
          <w:rFonts w:ascii="Segoe UI" w:hAnsi="Segoe UI" w:cs="Segoe UI"/>
        </w:rPr>
      </w:pPr>
      <w:r>
        <w:t>Smith J, Brown L. 2022. Integrating PROMs in National Health Systems: Lessons from OECD Countries. International Journal of Health Policy and Management, 11(3), 234–245</w:t>
      </w:r>
    </w:p>
    <w:p w14:paraId="1DC0ACFE" w14:textId="71048373" w:rsidR="00C961C7" w:rsidRPr="00C77281" w:rsidRDefault="004240E4" w:rsidP="00C77281">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ind w:left="748"/>
        <w:divId w:val="2049255192"/>
        <w:rPr>
          <w:rFonts w:ascii="Segoe UI" w:hAnsi="Segoe UI" w:cs="Segoe UI"/>
        </w:rPr>
      </w:pPr>
      <w:r>
        <w:rPr>
          <w:rFonts w:ascii="Segoe UI" w:hAnsi="Segoe UI" w:cs="Segoe UI"/>
        </w:rPr>
        <w:t xml:space="preserve">OECD 2025. </w:t>
      </w:r>
      <w:proofErr w:type="spellStart"/>
      <w:r>
        <w:rPr>
          <w:rFonts w:ascii="Segoe UI" w:hAnsi="Segoe UI" w:cs="Segoe UI"/>
        </w:rPr>
        <w:t>PaRIS</w:t>
      </w:r>
      <w:proofErr w:type="spellEnd"/>
      <w:r>
        <w:rPr>
          <w:rFonts w:ascii="Segoe UI" w:hAnsi="Segoe UI" w:cs="Segoe UI"/>
        </w:rPr>
        <w:t xml:space="preserve"> Survey: Country Note – Saudi Arabia, Organisation for Economic Co-operation and Development, viewed 17 June 2025, </w:t>
      </w:r>
      <w:hyperlink r:id="rId10" w:history="1">
        <w:r w:rsidRPr="00020097">
          <w:rPr>
            <w:rStyle w:val="Hyperlink"/>
            <w:rFonts w:ascii="Segoe UI" w:hAnsi="Segoe UI" w:cs="Segoe UI"/>
          </w:rPr>
          <w:t>https://www.oecd.org/health/paris/</w:t>
        </w:r>
      </w:hyperlink>
      <w:r>
        <w:rPr>
          <w:rFonts w:ascii="Segoe UI" w:hAnsi="Segoe UI" w:cs="Segoe UI"/>
        </w:rPr>
        <w:t>.</w:t>
      </w:r>
    </w:p>
    <w:p w14:paraId="37BE6AF6" w14:textId="3EE2BB2C" w:rsidR="00C961C7" w:rsidRPr="008F58C0" w:rsidRDefault="00C961C7" w:rsidP="008F58C0">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ind w:left="776"/>
        <w:divId w:val="2049255192"/>
        <w:rPr>
          <w:rFonts w:ascii="Segoe UI" w:hAnsi="Segoe UI" w:cs="Segoe UI"/>
        </w:rPr>
      </w:pPr>
      <w:r>
        <w:rPr>
          <w:rFonts w:ascii="Segoe UI" w:hAnsi="Segoe UI" w:cs="Segoe UI"/>
        </w:rPr>
        <w:t xml:space="preserve">UCD Library 2020, ‘Introduction – Harvard Style Guide’, </w:t>
      </w:r>
      <w:proofErr w:type="spellStart"/>
      <w:r>
        <w:rPr>
          <w:rFonts w:ascii="Segoe UI" w:hAnsi="Segoe UI" w:cs="Segoe UI"/>
        </w:rPr>
        <w:t>LibGuides</w:t>
      </w:r>
      <w:proofErr w:type="spellEnd"/>
      <w:r>
        <w:rPr>
          <w:rFonts w:ascii="Segoe UI" w:hAnsi="Segoe UI" w:cs="Segoe UI"/>
        </w:rPr>
        <w:t xml:space="preserve"> at UCD Library, viewed 17 June 2025, </w:t>
      </w:r>
      <w:hyperlink r:id="rId11" w:history="1">
        <w:r w:rsidRPr="00020097">
          <w:rPr>
            <w:rStyle w:val="Hyperlink"/>
            <w:rFonts w:ascii="Segoe UI" w:hAnsi="Segoe UI" w:cs="Segoe UI"/>
          </w:rPr>
          <w:t>https://libguides.ucd.ie/harvardstyle</w:t>
        </w:r>
      </w:hyperlink>
      <w:r>
        <w:rPr>
          <w:rFonts w:ascii="Segoe UI" w:hAnsi="Segoe UI" w:cs="Segoe UI"/>
        </w:rPr>
        <w:t>.</w:t>
      </w:r>
    </w:p>
    <w:p w14:paraId="53FDAEED" w14:textId="451EA4CF" w:rsidR="00C961C7" w:rsidRPr="008F58C0" w:rsidRDefault="00C961C7" w:rsidP="008F58C0">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ind w:left="748"/>
        <w:divId w:val="2049255192"/>
        <w:rPr>
          <w:rFonts w:ascii="Segoe UI" w:hAnsi="Segoe UI" w:cs="Segoe UI"/>
        </w:rPr>
      </w:pPr>
      <w:proofErr w:type="spellStart"/>
      <w:r>
        <w:rPr>
          <w:rFonts w:ascii="Segoe UI" w:hAnsi="Segoe UI" w:cs="Segoe UI"/>
        </w:rPr>
        <w:t>Perpustakaan</w:t>
      </w:r>
      <w:proofErr w:type="spellEnd"/>
      <w:r>
        <w:rPr>
          <w:rFonts w:ascii="Segoe UI" w:hAnsi="Segoe UI" w:cs="Segoe UI"/>
        </w:rPr>
        <w:t xml:space="preserve"> UGM 2024, ‘Harvard Referencing Style’, </w:t>
      </w:r>
      <w:proofErr w:type="spellStart"/>
      <w:r>
        <w:rPr>
          <w:rFonts w:ascii="Segoe UI" w:hAnsi="Segoe UI" w:cs="Segoe UI"/>
        </w:rPr>
        <w:t>Universitas</w:t>
      </w:r>
      <w:proofErr w:type="spellEnd"/>
      <w:r>
        <w:rPr>
          <w:rFonts w:ascii="Segoe UI" w:hAnsi="Segoe UI" w:cs="Segoe UI"/>
        </w:rPr>
        <w:t xml:space="preserve"> </w:t>
      </w:r>
      <w:proofErr w:type="spellStart"/>
      <w:r>
        <w:rPr>
          <w:rFonts w:ascii="Segoe UI" w:hAnsi="Segoe UI" w:cs="Segoe UI"/>
        </w:rPr>
        <w:t>Gadjah</w:t>
      </w:r>
      <w:proofErr w:type="spellEnd"/>
      <w:r>
        <w:rPr>
          <w:rFonts w:ascii="Segoe UI" w:hAnsi="Segoe UI" w:cs="Segoe UI"/>
        </w:rPr>
        <w:t xml:space="preserve"> </w:t>
      </w:r>
      <w:proofErr w:type="spellStart"/>
      <w:r>
        <w:rPr>
          <w:rFonts w:ascii="Segoe UI" w:hAnsi="Segoe UI" w:cs="Segoe UI"/>
        </w:rPr>
        <w:t>Mada</w:t>
      </w:r>
      <w:proofErr w:type="spellEnd"/>
      <w:r>
        <w:rPr>
          <w:rFonts w:ascii="Segoe UI" w:hAnsi="Segoe UI" w:cs="Segoe UI"/>
        </w:rPr>
        <w:t xml:space="preserve"> Library, viewed 17 June 2025, </w:t>
      </w:r>
      <w:hyperlink r:id="rId12" w:history="1">
        <w:r w:rsidRPr="00020097">
          <w:rPr>
            <w:rStyle w:val="Hyperlink"/>
            <w:rFonts w:ascii="Segoe UI" w:hAnsi="Segoe UI" w:cs="Segoe UI"/>
          </w:rPr>
          <w:t>https://lib.ugm.ac.id/en/harvard-referencing-style/</w:t>
        </w:r>
      </w:hyperlink>
      <w:r>
        <w:rPr>
          <w:rFonts w:ascii="Segoe UI" w:hAnsi="Segoe UI" w:cs="Segoe UI"/>
        </w:rPr>
        <w:t>.</w:t>
      </w:r>
    </w:p>
    <w:p w14:paraId="1F18FE0E" w14:textId="4D4E2AF2" w:rsidR="00C961C7" w:rsidRPr="008F58C0" w:rsidRDefault="00C961C7" w:rsidP="008F58C0">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ind w:left="748"/>
        <w:divId w:val="2049255192"/>
        <w:rPr>
          <w:rFonts w:ascii="Segoe UI" w:hAnsi="Segoe UI" w:cs="Segoe UI"/>
        </w:rPr>
      </w:pPr>
      <w:r>
        <w:rPr>
          <w:rFonts w:ascii="Segoe UI" w:hAnsi="Segoe UI" w:cs="Segoe UI"/>
        </w:rPr>
        <w:t xml:space="preserve">Sheffield University Library 2020, ‘Harvard referencing – Research skills and critical thinking’, viewed 17 June 2025, </w:t>
      </w:r>
      <w:hyperlink r:id="rId13" w:history="1">
        <w:r w:rsidRPr="00020097">
          <w:rPr>
            <w:rStyle w:val="Hyperlink"/>
            <w:rFonts w:ascii="Segoe UI" w:hAnsi="Segoe UI" w:cs="Segoe UI"/>
          </w:rPr>
          <w:t>https://librarydevelopment.group.shef.ac.uk/referencing/harvard.html</w:t>
        </w:r>
      </w:hyperlink>
      <w:r>
        <w:rPr>
          <w:rFonts w:ascii="Segoe UI" w:hAnsi="Segoe UI" w:cs="Segoe UI"/>
        </w:rPr>
        <w:t>.</w:t>
      </w:r>
    </w:p>
    <w:p w14:paraId="2CA4CBCE" w14:textId="2AA26FF2" w:rsidR="00C961C7" w:rsidRPr="0052492F" w:rsidRDefault="00C961C7" w:rsidP="0052492F">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ind w:left="748"/>
        <w:divId w:val="2049255192"/>
        <w:rPr>
          <w:rFonts w:ascii="Segoe UI" w:hAnsi="Segoe UI" w:cs="Segoe UI"/>
        </w:rPr>
      </w:pPr>
      <w:proofErr w:type="spellStart"/>
      <w:r>
        <w:rPr>
          <w:rFonts w:ascii="Segoe UI" w:hAnsi="Segoe UI" w:cs="Segoe UI"/>
        </w:rPr>
        <w:t>EasyBib</w:t>
      </w:r>
      <w:proofErr w:type="spellEnd"/>
      <w:r>
        <w:rPr>
          <w:rFonts w:ascii="Segoe UI" w:hAnsi="Segoe UI" w:cs="Segoe UI"/>
        </w:rPr>
        <w:t xml:space="preserve"> 2022, ‘Harvard Referencing Style Guide’, viewed 17 June 2025, </w:t>
      </w:r>
      <w:hyperlink r:id="rId14" w:history="1">
        <w:r w:rsidRPr="00020097">
          <w:rPr>
            <w:rStyle w:val="Hyperlink"/>
            <w:rFonts w:ascii="Segoe UI" w:hAnsi="Segoe UI" w:cs="Segoe UI"/>
          </w:rPr>
          <w:t>https://www.easybib.com/guides/citation-guides/harvard-referencing/</w:t>
        </w:r>
      </w:hyperlink>
      <w:r>
        <w:rPr>
          <w:rFonts w:ascii="Segoe UI" w:hAnsi="Segoe UI" w:cs="Segoe UI"/>
        </w:rPr>
        <w:t>.</w:t>
      </w:r>
    </w:p>
    <w:sectPr w:rsidR="00C961C7" w:rsidRPr="00524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fkGrotesk Fallback">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50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941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B328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974072"/>
    <w:multiLevelType w:val="hybridMultilevel"/>
    <w:tmpl w:val="473670C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AF16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A087F"/>
    <w:multiLevelType w:val="hybridMultilevel"/>
    <w:tmpl w:val="0310CD38"/>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1706660">
    <w:abstractNumId w:val="4"/>
  </w:num>
  <w:num w:numId="2" w16cid:durableId="1121343647">
    <w:abstractNumId w:val="2"/>
  </w:num>
  <w:num w:numId="3" w16cid:durableId="718866319">
    <w:abstractNumId w:val="0"/>
  </w:num>
  <w:num w:numId="4" w16cid:durableId="1941258647">
    <w:abstractNumId w:val="1"/>
  </w:num>
  <w:num w:numId="5" w16cid:durableId="305547269">
    <w:abstractNumId w:val="3"/>
  </w:num>
  <w:num w:numId="6" w16cid:durableId="487863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63"/>
    <w:rsid w:val="00002DA9"/>
    <w:rsid w:val="0001030D"/>
    <w:rsid w:val="00010E3A"/>
    <w:rsid w:val="00013148"/>
    <w:rsid w:val="00013DE7"/>
    <w:rsid w:val="00022468"/>
    <w:rsid w:val="00030FA0"/>
    <w:rsid w:val="000425CD"/>
    <w:rsid w:val="0004475C"/>
    <w:rsid w:val="0005562F"/>
    <w:rsid w:val="0007085E"/>
    <w:rsid w:val="000741FF"/>
    <w:rsid w:val="00082516"/>
    <w:rsid w:val="000847C8"/>
    <w:rsid w:val="00090150"/>
    <w:rsid w:val="00091A32"/>
    <w:rsid w:val="000952B6"/>
    <w:rsid w:val="000F4AC8"/>
    <w:rsid w:val="000F5941"/>
    <w:rsid w:val="000F62FC"/>
    <w:rsid w:val="00112AA5"/>
    <w:rsid w:val="001220EA"/>
    <w:rsid w:val="001410F6"/>
    <w:rsid w:val="0014223C"/>
    <w:rsid w:val="00165091"/>
    <w:rsid w:val="00183516"/>
    <w:rsid w:val="00185E50"/>
    <w:rsid w:val="001865C4"/>
    <w:rsid w:val="00195E75"/>
    <w:rsid w:val="001B656D"/>
    <w:rsid w:val="001C65F0"/>
    <w:rsid w:val="001D3F0A"/>
    <w:rsid w:val="001E3C00"/>
    <w:rsid w:val="001F7037"/>
    <w:rsid w:val="00202EFB"/>
    <w:rsid w:val="00211BAB"/>
    <w:rsid w:val="002236AC"/>
    <w:rsid w:val="00223F19"/>
    <w:rsid w:val="00227EDD"/>
    <w:rsid w:val="00231E02"/>
    <w:rsid w:val="00277AA8"/>
    <w:rsid w:val="002A17AD"/>
    <w:rsid w:val="002A748B"/>
    <w:rsid w:val="002B7B23"/>
    <w:rsid w:val="002D1898"/>
    <w:rsid w:val="002F21D6"/>
    <w:rsid w:val="002F21F6"/>
    <w:rsid w:val="00313192"/>
    <w:rsid w:val="003161DB"/>
    <w:rsid w:val="00327507"/>
    <w:rsid w:val="00337D0D"/>
    <w:rsid w:val="0035117E"/>
    <w:rsid w:val="003527D0"/>
    <w:rsid w:val="003538A7"/>
    <w:rsid w:val="0036281A"/>
    <w:rsid w:val="00364689"/>
    <w:rsid w:val="00374530"/>
    <w:rsid w:val="00393B98"/>
    <w:rsid w:val="00393C5E"/>
    <w:rsid w:val="003949B3"/>
    <w:rsid w:val="003A4F26"/>
    <w:rsid w:val="003B61D9"/>
    <w:rsid w:val="003C23F9"/>
    <w:rsid w:val="003C7C47"/>
    <w:rsid w:val="00411667"/>
    <w:rsid w:val="00416893"/>
    <w:rsid w:val="004240E4"/>
    <w:rsid w:val="004267D6"/>
    <w:rsid w:val="00432A3D"/>
    <w:rsid w:val="00436ECB"/>
    <w:rsid w:val="0044219D"/>
    <w:rsid w:val="004478B2"/>
    <w:rsid w:val="0045674E"/>
    <w:rsid w:val="00467433"/>
    <w:rsid w:val="00473FED"/>
    <w:rsid w:val="004874A9"/>
    <w:rsid w:val="00491E07"/>
    <w:rsid w:val="004A1372"/>
    <w:rsid w:val="004C27F8"/>
    <w:rsid w:val="004D1761"/>
    <w:rsid w:val="00505E80"/>
    <w:rsid w:val="0052492F"/>
    <w:rsid w:val="00525790"/>
    <w:rsid w:val="005556F3"/>
    <w:rsid w:val="0057686E"/>
    <w:rsid w:val="00592EFA"/>
    <w:rsid w:val="005A0DD1"/>
    <w:rsid w:val="005B5259"/>
    <w:rsid w:val="005C0009"/>
    <w:rsid w:val="005D5BC1"/>
    <w:rsid w:val="005E033F"/>
    <w:rsid w:val="005F2213"/>
    <w:rsid w:val="00620836"/>
    <w:rsid w:val="0062584A"/>
    <w:rsid w:val="00632A50"/>
    <w:rsid w:val="00634A53"/>
    <w:rsid w:val="0063623C"/>
    <w:rsid w:val="00660751"/>
    <w:rsid w:val="0066718E"/>
    <w:rsid w:val="00670962"/>
    <w:rsid w:val="00684B9E"/>
    <w:rsid w:val="00691179"/>
    <w:rsid w:val="0069659D"/>
    <w:rsid w:val="006A15AD"/>
    <w:rsid w:val="006A7BFA"/>
    <w:rsid w:val="006C172D"/>
    <w:rsid w:val="006D3CAD"/>
    <w:rsid w:val="006F4A7F"/>
    <w:rsid w:val="007116A1"/>
    <w:rsid w:val="00711B00"/>
    <w:rsid w:val="00714A5A"/>
    <w:rsid w:val="0072506B"/>
    <w:rsid w:val="00731097"/>
    <w:rsid w:val="007327BB"/>
    <w:rsid w:val="00732B63"/>
    <w:rsid w:val="0075484E"/>
    <w:rsid w:val="00764AC7"/>
    <w:rsid w:val="0077664F"/>
    <w:rsid w:val="00797923"/>
    <w:rsid w:val="007A05A7"/>
    <w:rsid w:val="007B26C4"/>
    <w:rsid w:val="007B3C35"/>
    <w:rsid w:val="007F15B4"/>
    <w:rsid w:val="00815C04"/>
    <w:rsid w:val="00815CA3"/>
    <w:rsid w:val="00826A8F"/>
    <w:rsid w:val="00856431"/>
    <w:rsid w:val="0089563E"/>
    <w:rsid w:val="008C1CAC"/>
    <w:rsid w:val="008C2102"/>
    <w:rsid w:val="008D2AB9"/>
    <w:rsid w:val="008E47F8"/>
    <w:rsid w:val="008F0FFC"/>
    <w:rsid w:val="008F2A39"/>
    <w:rsid w:val="008F58C0"/>
    <w:rsid w:val="00913FFF"/>
    <w:rsid w:val="0092110A"/>
    <w:rsid w:val="00924358"/>
    <w:rsid w:val="00955753"/>
    <w:rsid w:val="0098627F"/>
    <w:rsid w:val="00987C57"/>
    <w:rsid w:val="009A4FB2"/>
    <w:rsid w:val="009A60C3"/>
    <w:rsid w:val="009B3899"/>
    <w:rsid w:val="009C4E53"/>
    <w:rsid w:val="009D1851"/>
    <w:rsid w:val="009E1743"/>
    <w:rsid w:val="009F1ED1"/>
    <w:rsid w:val="009F3367"/>
    <w:rsid w:val="009F5C4C"/>
    <w:rsid w:val="00A10568"/>
    <w:rsid w:val="00A116B7"/>
    <w:rsid w:val="00A275F9"/>
    <w:rsid w:val="00A278AD"/>
    <w:rsid w:val="00A410A4"/>
    <w:rsid w:val="00A4762D"/>
    <w:rsid w:val="00A63C80"/>
    <w:rsid w:val="00A928DB"/>
    <w:rsid w:val="00A96F21"/>
    <w:rsid w:val="00AA29F2"/>
    <w:rsid w:val="00AA4C81"/>
    <w:rsid w:val="00AD560C"/>
    <w:rsid w:val="00AE068F"/>
    <w:rsid w:val="00AE0B29"/>
    <w:rsid w:val="00AF4DA7"/>
    <w:rsid w:val="00B201A4"/>
    <w:rsid w:val="00B24347"/>
    <w:rsid w:val="00B42366"/>
    <w:rsid w:val="00B55580"/>
    <w:rsid w:val="00B771F7"/>
    <w:rsid w:val="00B95421"/>
    <w:rsid w:val="00B957C4"/>
    <w:rsid w:val="00BB1644"/>
    <w:rsid w:val="00BB3062"/>
    <w:rsid w:val="00BC454F"/>
    <w:rsid w:val="00BC4B26"/>
    <w:rsid w:val="00BD0AA4"/>
    <w:rsid w:val="00C006CA"/>
    <w:rsid w:val="00C05E8D"/>
    <w:rsid w:val="00C073C9"/>
    <w:rsid w:val="00C14553"/>
    <w:rsid w:val="00C14900"/>
    <w:rsid w:val="00C2533C"/>
    <w:rsid w:val="00C45569"/>
    <w:rsid w:val="00C575ED"/>
    <w:rsid w:val="00C7047D"/>
    <w:rsid w:val="00C77281"/>
    <w:rsid w:val="00C81261"/>
    <w:rsid w:val="00C86255"/>
    <w:rsid w:val="00C868F8"/>
    <w:rsid w:val="00C961C7"/>
    <w:rsid w:val="00CC0182"/>
    <w:rsid w:val="00CC4CBE"/>
    <w:rsid w:val="00CD0832"/>
    <w:rsid w:val="00CF34EF"/>
    <w:rsid w:val="00CF3DBF"/>
    <w:rsid w:val="00D04D87"/>
    <w:rsid w:val="00D1488E"/>
    <w:rsid w:val="00D214CA"/>
    <w:rsid w:val="00D24F9E"/>
    <w:rsid w:val="00D36544"/>
    <w:rsid w:val="00D44B94"/>
    <w:rsid w:val="00D63392"/>
    <w:rsid w:val="00D66DF8"/>
    <w:rsid w:val="00D819A7"/>
    <w:rsid w:val="00DA6727"/>
    <w:rsid w:val="00DB43C2"/>
    <w:rsid w:val="00DC4F0D"/>
    <w:rsid w:val="00DD4036"/>
    <w:rsid w:val="00DE15B9"/>
    <w:rsid w:val="00E04EB0"/>
    <w:rsid w:val="00E06A95"/>
    <w:rsid w:val="00E20800"/>
    <w:rsid w:val="00E36411"/>
    <w:rsid w:val="00E47B32"/>
    <w:rsid w:val="00E5526D"/>
    <w:rsid w:val="00E60D38"/>
    <w:rsid w:val="00E61E77"/>
    <w:rsid w:val="00E76997"/>
    <w:rsid w:val="00E8438C"/>
    <w:rsid w:val="00EA0BCD"/>
    <w:rsid w:val="00EB0F42"/>
    <w:rsid w:val="00EB30BD"/>
    <w:rsid w:val="00EB3CD8"/>
    <w:rsid w:val="00EC74AB"/>
    <w:rsid w:val="00ED12D3"/>
    <w:rsid w:val="00EF0E05"/>
    <w:rsid w:val="00F30D5A"/>
    <w:rsid w:val="00F416B9"/>
    <w:rsid w:val="00F549E8"/>
    <w:rsid w:val="00F61394"/>
    <w:rsid w:val="00F8776F"/>
    <w:rsid w:val="00F914DF"/>
    <w:rsid w:val="00FA3601"/>
    <w:rsid w:val="00FA3E82"/>
    <w:rsid w:val="00FD45D3"/>
    <w:rsid w:val="00FE43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512E"/>
  <w15:chartTrackingRefBased/>
  <w15:docId w15:val="{B5DE34BB-CC77-1449-BEEF-B54B0333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2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2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2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32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B63"/>
    <w:rPr>
      <w:rFonts w:eastAsiaTheme="majorEastAsia" w:cstheme="majorBidi"/>
      <w:color w:val="272727" w:themeColor="text1" w:themeTint="D8"/>
    </w:rPr>
  </w:style>
  <w:style w:type="paragraph" w:styleId="Title">
    <w:name w:val="Title"/>
    <w:basedOn w:val="Normal"/>
    <w:next w:val="Normal"/>
    <w:link w:val="TitleChar"/>
    <w:uiPriority w:val="10"/>
    <w:qFormat/>
    <w:rsid w:val="00732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B63"/>
    <w:pPr>
      <w:spacing w:before="160"/>
      <w:jc w:val="center"/>
    </w:pPr>
    <w:rPr>
      <w:i/>
      <w:iCs/>
      <w:color w:val="404040" w:themeColor="text1" w:themeTint="BF"/>
    </w:rPr>
  </w:style>
  <w:style w:type="character" w:customStyle="1" w:styleId="QuoteChar">
    <w:name w:val="Quote Char"/>
    <w:basedOn w:val="DefaultParagraphFont"/>
    <w:link w:val="Quote"/>
    <w:uiPriority w:val="29"/>
    <w:rsid w:val="00732B63"/>
    <w:rPr>
      <w:i/>
      <w:iCs/>
      <w:color w:val="404040" w:themeColor="text1" w:themeTint="BF"/>
    </w:rPr>
  </w:style>
  <w:style w:type="paragraph" w:styleId="ListParagraph">
    <w:name w:val="List Paragraph"/>
    <w:basedOn w:val="Normal"/>
    <w:uiPriority w:val="34"/>
    <w:qFormat/>
    <w:rsid w:val="00732B63"/>
    <w:pPr>
      <w:ind w:left="720"/>
      <w:contextualSpacing/>
    </w:pPr>
  </w:style>
  <w:style w:type="character" w:styleId="IntenseEmphasis">
    <w:name w:val="Intense Emphasis"/>
    <w:basedOn w:val="DefaultParagraphFont"/>
    <w:uiPriority w:val="21"/>
    <w:qFormat/>
    <w:rsid w:val="00732B63"/>
    <w:rPr>
      <w:i/>
      <w:iCs/>
      <w:color w:val="0F4761" w:themeColor="accent1" w:themeShade="BF"/>
    </w:rPr>
  </w:style>
  <w:style w:type="paragraph" w:styleId="IntenseQuote">
    <w:name w:val="Intense Quote"/>
    <w:basedOn w:val="Normal"/>
    <w:next w:val="Normal"/>
    <w:link w:val="IntenseQuoteChar"/>
    <w:uiPriority w:val="30"/>
    <w:qFormat/>
    <w:rsid w:val="0073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B63"/>
    <w:rPr>
      <w:i/>
      <w:iCs/>
      <w:color w:val="0F4761" w:themeColor="accent1" w:themeShade="BF"/>
    </w:rPr>
  </w:style>
  <w:style w:type="character" w:styleId="IntenseReference">
    <w:name w:val="Intense Reference"/>
    <w:basedOn w:val="DefaultParagraphFont"/>
    <w:uiPriority w:val="32"/>
    <w:qFormat/>
    <w:rsid w:val="00732B63"/>
    <w:rPr>
      <w:b/>
      <w:bCs/>
      <w:smallCaps/>
      <w:color w:val="0F4761" w:themeColor="accent1" w:themeShade="BF"/>
      <w:spacing w:val="5"/>
    </w:rPr>
  </w:style>
  <w:style w:type="paragraph" w:customStyle="1" w:styleId="my-0">
    <w:name w:val="my-0"/>
    <w:basedOn w:val="Normal"/>
    <w:rsid w:val="00732B6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32B63"/>
    <w:rPr>
      <w:b/>
      <w:bCs/>
    </w:rPr>
  </w:style>
  <w:style w:type="character" w:customStyle="1" w:styleId="whitespace-nowrap">
    <w:name w:val="whitespace-nowrap"/>
    <w:basedOn w:val="DefaultParagraphFont"/>
    <w:rsid w:val="00732B63"/>
  </w:style>
  <w:style w:type="character" w:styleId="Hyperlink">
    <w:name w:val="Hyperlink"/>
    <w:basedOn w:val="DefaultParagraphFont"/>
    <w:uiPriority w:val="99"/>
    <w:unhideWhenUsed/>
    <w:rsid w:val="00732B63"/>
    <w:rPr>
      <w:color w:val="0000FF"/>
      <w:u w:val="single"/>
    </w:rPr>
  </w:style>
  <w:style w:type="character" w:customStyle="1" w:styleId="hoverbg-super">
    <w:name w:val="hover:bg-super"/>
    <w:basedOn w:val="DefaultParagraphFont"/>
    <w:rsid w:val="00732B63"/>
  </w:style>
  <w:style w:type="character" w:styleId="Emphasis">
    <w:name w:val="Emphasis"/>
    <w:basedOn w:val="DefaultParagraphFont"/>
    <w:uiPriority w:val="20"/>
    <w:qFormat/>
    <w:rsid w:val="00732B63"/>
    <w:rPr>
      <w:i/>
      <w:iCs/>
    </w:rPr>
  </w:style>
  <w:style w:type="character" w:styleId="UnresolvedMention">
    <w:name w:val="Unresolved Mention"/>
    <w:basedOn w:val="DefaultParagraphFont"/>
    <w:uiPriority w:val="99"/>
    <w:semiHidden/>
    <w:unhideWhenUsed/>
    <w:rsid w:val="003B61D9"/>
    <w:rPr>
      <w:color w:val="605E5C"/>
      <w:shd w:val="clear" w:color="auto" w:fill="E1DFDD"/>
    </w:rPr>
  </w:style>
  <w:style w:type="character" w:styleId="SubtleEmphasis">
    <w:name w:val="Subtle Emphasis"/>
    <w:basedOn w:val="DefaultParagraphFont"/>
    <w:uiPriority w:val="19"/>
    <w:qFormat/>
    <w:rsid w:val="0041166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114942">
      <w:marLeft w:val="0"/>
      <w:marRight w:val="0"/>
      <w:marTop w:val="0"/>
      <w:marBottom w:val="0"/>
      <w:divBdr>
        <w:top w:val="single" w:sz="2" w:space="0" w:color="E5E7EB"/>
        <w:left w:val="single" w:sz="2" w:space="0" w:color="E5E7EB"/>
        <w:bottom w:val="single" w:sz="2" w:space="0" w:color="E5E7EB"/>
        <w:right w:val="single" w:sz="2" w:space="0" w:color="E5E7EB"/>
      </w:divBdr>
      <w:divsChild>
        <w:div w:id="562643855">
          <w:marLeft w:val="0"/>
          <w:marRight w:val="0"/>
          <w:marTop w:val="0"/>
          <w:marBottom w:val="0"/>
          <w:divBdr>
            <w:top w:val="single" w:sz="2" w:space="0" w:color="E5E7EB"/>
            <w:left w:val="single" w:sz="2" w:space="0" w:color="E5E7EB"/>
            <w:bottom w:val="single" w:sz="2" w:space="0" w:color="E5E7EB"/>
            <w:right w:val="single" w:sz="2" w:space="0" w:color="E5E7EB"/>
          </w:divBdr>
          <w:divsChild>
            <w:div w:id="1047799551">
              <w:marLeft w:val="0"/>
              <w:marRight w:val="0"/>
              <w:marTop w:val="0"/>
              <w:marBottom w:val="0"/>
              <w:divBdr>
                <w:top w:val="single" w:sz="2" w:space="0" w:color="E5E7EB"/>
                <w:left w:val="single" w:sz="2" w:space="0" w:color="E5E7EB"/>
                <w:bottom w:val="single" w:sz="2" w:space="0" w:color="E5E7EB"/>
                <w:right w:val="single" w:sz="2" w:space="0" w:color="E5E7EB"/>
              </w:divBdr>
              <w:divsChild>
                <w:div w:id="1604144735">
                  <w:marLeft w:val="0"/>
                  <w:marRight w:val="0"/>
                  <w:marTop w:val="0"/>
                  <w:marBottom w:val="0"/>
                  <w:divBdr>
                    <w:top w:val="single" w:sz="2" w:space="0" w:color="E5E7EB"/>
                    <w:left w:val="single" w:sz="2" w:space="0" w:color="E5E7EB"/>
                    <w:bottom w:val="single" w:sz="2" w:space="0" w:color="E5E7EB"/>
                    <w:right w:val="single" w:sz="2" w:space="0" w:color="E5E7EB"/>
                  </w:divBdr>
                  <w:divsChild>
                    <w:div w:id="2049255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x-res.cloudinary.com/image/upload/v1750174331/user_uploads/76220723/bb6104ad-697a-4718-a5cc-81087a858902/Screenshot_20250615-195640_Drive.jpg" TargetMode="External" /><Relationship Id="rId13" Type="http://schemas.openxmlformats.org/officeDocument/2006/relationships/hyperlink" Target="https://librarydevelopment.group.shef.ac.uk/referencing/harvard.html" TargetMode="External" /><Relationship Id="rId3" Type="http://schemas.openxmlformats.org/officeDocument/2006/relationships/settings" Target="settings.xml" /><Relationship Id="rId7" Type="http://schemas.openxmlformats.org/officeDocument/2006/relationships/hyperlink" Target="https://pplx-res.cloudinary.com/image/upload/v1750174331/user_uploads/76220723/b49026f3-54c6-4684-94ad-a7a6b4d434ed/Screenshot_20250615-175211_Drive.jpg" TargetMode="External" /><Relationship Id="rId12" Type="http://schemas.openxmlformats.org/officeDocument/2006/relationships/hyperlink" Target="https://lib.ugm.ac.id/en/harvard-referencing-style/"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pplx-res.cloudinary.com/image/upload/v1750174331/user_uploads/76220723/fa77a952-adca-44e4-891b-8b37fadbad0f/Screenshot_20250615-175849_Drive.jpg" TargetMode="External" /><Relationship Id="rId11" Type="http://schemas.openxmlformats.org/officeDocument/2006/relationships/hyperlink" Target="https://libguides.ucd.ie/harvardstyle" TargetMode="External" /><Relationship Id="rId5" Type="http://schemas.openxmlformats.org/officeDocument/2006/relationships/hyperlink" Target="https://pplx-res.cloudinary.com/image/upload/v1750174331/user_uploads/76220723/bb6104ad-697a-4718-a5cc-81087a858902/Screenshot_20250615-195640_Drive.jpg" TargetMode="External" /><Relationship Id="rId15" Type="http://schemas.openxmlformats.org/officeDocument/2006/relationships/fontTable" Target="fontTable.xml" /><Relationship Id="rId10" Type="http://schemas.openxmlformats.org/officeDocument/2006/relationships/hyperlink" Target="https://www.oecd.org/health/paris/" TargetMode="External" /><Relationship Id="rId4" Type="http://schemas.openxmlformats.org/officeDocument/2006/relationships/webSettings" Target="webSettings.xml" /><Relationship Id="rId9" Type="http://schemas.openxmlformats.org/officeDocument/2006/relationships/hyperlink" Target="https://pplx-res.cloudinary.com/image/upload/v1750174331/user_uploads/76220723/fa77a952-adca-44e4-891b-8b37fadbad0f/Screenshot_20250615-175849_Drive.jpg" TargetMode="External" /><Relationship Id="rId14" Type="http://schemas.openxmlformats.org/officeDocument/2006/relationships/hyperlink" Target="https://www.easybib.com/guides/citation-guides/harvard-referen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2606</Words>
  <Characters>14857</Characters>
  <Application>Microsoft Office Word</Application>
  <DocSecurity>0</DocSecurity>
  <Lines>123</Lines>
  <Paragraphs>34</Paragraphs>
  <ScaleCrop>false</ScaleCrop>
  <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Bartolomeu Golding</dc:creator>
  <cp:keywords/>
  <dc:description/>
  <cp:lastModifiedBy>Bartolomeu Golding</cp:lastModifiedBy>
  <cp:revision>2</cp:revision>
  <dcterms:created xsi:type="dcterms:W3CDTF">2025-06-21T15:51:00Z</dcterms:created>
  <dcterms:modified xsi:type="dcterms:W3CDTF">2025-06-21T15:51:00Z</dcterms:modified>
</cp:coreProperties>
</file>