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Proposal for Licensing Saudi Arabia's First V-MGA</w:t>
      </w:r>
    </w:p>
    <w:p>
      <w:pPr>
        <w:pStyle w:val="Heading1"/>
      </w:pPr>
      <w:r>
        <w:t>Managing General Agent for Value-Based Healthcare and Life Insurance</w:t>
      </w:r>
    </w:p>
    <w:p>
      <w:r>
        <w:t>Prepared by Dr. Theeb Alkahtani</w:t>
      </w:r>
    </w:p>
    <w:p>
      <w:pPr>
        <w:pStyle w:val="Heading2"/>
      </w:pPr>
      <w:r>
        <w:t>Executive Summary</w:t>
      </w:r>
    </w:p>
    <w:p>
      <w:r>
        <w:t>This proposal seeks direct license approval to establish Saudi Arabia's first Managing General Agent (V-MGA), focused on value-based healthcare (VBHC) and life insurance.</w:t>
        <w:br/>
        <w:br/>
        <w:t>The V-MGA will act as a national enabler, supporting insurers, providers, brokers, and TPAs to align with Vision 2030’s healthcare objectives including privatization, PPP, ACOs, and value-based contracting.</w:t>
        <w:br/>
        <w:br/>
        <w:t>With globally proven models, advanced technology, and a capable operational team, V-MGA is ready to execute and serve as the first mover for this critical regulatory opportunity.</w:t>
      </w:r>
    </w:p>
    <w:p>
      <w:pPr>
        <w:pStyle w:val="Heading2"/>
      </w:pPr>
      <w:r>
        <w:t>The Problem and Opportunity (National Drivers)</w:t>
      </w:r>
    </w:p>
    <w:p>
      <w:r>
        <w:t>- Current market lacks a regulated intermediary to align ecosystem players on value-based models.</w:t>
        <w:br/>
        <w:t>- Saudi health sector is rapidly shifting to privatization, ACO, PPP, and digitalization.</w:t>
        <w:br/>
        <w:t>- V-MGA will fill this gap while ensuring full regulatory oversight and driving innovation.</w:t>
      </w:r>
    </w:p>
    <w:p>
      <w:pPr>
        <w:pStyle w:val="Heading2"/>
      </w:pPr>
      <w:r>
        <w:t>What V-MGA Will Do (Scope of License)</w:t>
      </w:r>
    </w:p>
    <w:p>
      <w:r>
        <w:t>- NOT take balance sheet risk.</w:t>
        <w:br/>
        <w:t>- NOT issue insurance directly to consumers.</w:t>
        <w:br/>
        <w:t>- NOT replace brokers or TPAs.</w:t>
        <w:br/>
        <w:br/>
        <w:t>V-MGA WILL:</w:t>
        <w:br/>
        <w:t>- Design and manage value-based insurance programs.</w:t>
        <w:br/>
        <w:t>- Manage provider contracting and performance.</w:t>
        <w:br/>
        <w:t>- Automate smart contracts and value-based payments.</w:t>
        <w:br/>
        <w:t>- Monitor and report outcomes to regulators and payers.</w:t>
        <w:br/>
        <w:t>- Enable population health management strategies to address risk segments and optimize care pathways.</w:t>
        <w:br/>
        <w:t>- Leverage agentic AI for lower cost operations and intelligent management of mid and back-office processes.</w:t>
      </w:r>
    </w:p>
    <w:p>
      <w:pPr>
        <w:pStyle w:val="Heading2"/>
      </w:pPr>
      <w:r>
        <w:t>Execution Readiness</w:t>
      </w:r>
    </w:p>
    <w:p>
      <w:r>
        <w:t>- Led by Dr. Theeb Alkahtani, founder of multiple national healthcare entities.</w:t>
        <w:br/>
        <w:t>- Technology platforms already deployed globally.</w:t>
        <w:br/>
        <w:t>- Accepted into CHI Sandbox for value-based pilots.</w:t>
        <w:br/>
        <w:t>- Fully prepared governance and compliance framework.</w:t>
      </w:r>
    </w:p>
    <w:p>
      <w:pPr>
        <w:pStyle w:val="Heading2"/>
      </w:pPr>
      <w:r>
        <w:t>Smart, Sustainable and AI-Driven Model</w:t>
      </w:r>
    </w:p>
    <w:p>
      <w:r>
        <w:t>V-MGA will integrate agentic AI capabilities at all levels to automate and optimize operations:</w:t>
        <w:br/>
        <w:t>- AI for smart contracting, claims processing, authorizations, and performance analytics.</w:t>
        <w:br/>
        <w:t>- AI for provider and patient engagement to support outcomes and adherence.</w:t>
        <w:br/>
        <w:t>- AI-powered fraud detection, benchmarking, and payment integrity management.</w:t>
        <w:br/>
        <w:br/>
        <w:t>Through advanced population health management tools, V-MGA will work with payers and providers to segment populations, manage risk, and achieve sustainable cost management.</w:t>
      </w:r>
    </w:p>
    <w:p>
      <w:pPr>
        <w:pStyle w:val="Heading2"/>
      </w:pPr>
      <w:r>
        <w:t>Global Precedent and Licensing Pathway</w:t>
      </w:r>
    </w:p>
    <w:p>
      <w:r>
        <w:t>The MGA model is globally regulated in markets like USA, UK, and UAE.</w:t>
        <w:br/>
        <w:br/>
        <w:t>Proposed path: Direct licensing as Insurance Service Provider -&gt; Phase 1 scope (health and life) -&gt; expand after IA review.</w:t>
        <w:br/>
        <w:t>Fully auditable and aligned with national objectives.</w:t>
      </w:r>
    </w:p>
    <w:p>
      <w:pPr>
        <w:pStyle w:val="Heading2"/>
      </w:pPr>
      <w:r>
        <w:t>Proposed Next Step</w:t>
      </w:r>
    </w:p>
    <w:p>
      <w:r>
        <w:t>Approve direct licensing of V-MGA as the national enabler for value-based insurance.</w:t>
        <w:br/>
        <w:br/>
        <w:t>Launch pilot phase -&gt; operate under IA oversight -&gt; scale nationally upon success.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