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Majour VBP &amp; VBHC – Business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Client Segment</w:t>
            </w:r>
          </w:p>
        </w:tc>
        <w:tc>
          <w:tcPr>
            <w:tcW w:type="dxa" w:w="2880"/>
          </w:tcPr>
          <w:p>
            <w:r>
              <w:t>Revenue Stream</w:t>
            </w:r>
          </w:p>
        </w:tc>
        <w:tc>
          <w:tcPr>
            <w:tcW w:type="dxa" w:w="2880"/>
          </w:tcPr>
          <w:p>
            <w:r>
              <w:t>Core Offering</w:t>
            </w:r>
          </w:p>
        </w:tc>
      </w:tr>
      <w:tr>
        <w:tc>
          <w:tcPr>
            <w:tcW w:type="dxa" w:w="2880"/>
          </w:tcPr>
          <w:p>
            <w:r>
              <w:t>Government Payers (e.g., GOSI, NUPCO)</w:t>
            </w:r>
          </w:p>
        </w:tc>
        <w:tc>
          <w:tcPr>
            <w:tcW w:type="dxa" w:w="2880"/>
          </w:tcPr>
          <w:p>
            <w:r>
              <w:t>Licensing, policy advisory</w:t>
            </w:r>
          </w:p>
        </w:tc>
        <w:tc>
          <w:tcPr>
            <w:tcW w:type="dxa" w:w="2880"/>
          </w:tcPr>
          <w:p>
            <w:r>
              <w:t>Outcome-based contract design &amp; validation</w:t>
            </w:r>
          </w:p>
        </w:tc>
      </w:tr>
      <w:tr>
        <w:tc>
          <w:tcPr>
            <w:tcW w:type="dxa" w:w="2880"/>
          </w:tcPr>
          <w:p>
            <w:r>
              <w:t>Hospitals &amp; Health Clusters</w:t>
            </w:r>
          </w:p>
        </w:tc>
        <w:tc>
          <w:tcPr>
            <w:tcW w:type="dxa" w:w="2880"/>
          </w:tcPr>
          <w:p>
            <w:r>
              <w:t>Subscription, implementation support</w:t>
            </w:r>
          </w:p>
        </w:tc>
        <w:tc>
          <w:tcPr>
            <w:tcW w:type="dxa" w:w="2880"/>
          </w:tcPr>
          <w:p>
            <w:r>
              <w:t>Data maturity, PROMs deployment, bundled payments</w:t>
            </w:r>
          </w:p>
        </w:tc>
      </w:tr>
      <w:tr>
        <w:tc>
          <w:tcPr>
            <w:tcW w:type="dxa" w:w="2880"/>
          </w:tcPr>
          <w:p>
            <w:r>
              <w:t>Pharma / MedTech Vendors</w:t>
            </w:r>
          </w:p>
        </w:tc>
        <w:tc>
          <w:tcPr>
            <w:tcW w:type="dxa" w:w="2880"/>
          </w:tcPr>
          <w:p>
            <w:r>
              <w:t>Performance-based market access fees</w:t>
            </w:r>
          </w:p>
        </w:tc>
        <w:tc>
          <w:tcPr>
            <w:tcW w:type="dxa" w:w="2880"/>
          </w:tcPr>
          <w:p>
            <w:r>
              <w:t>Risk-sharing contracts and outcome tracking</w:t>
            </w:r>
          </w:p>
        </w:tc>
      </w:tr>
      <w:tr>
        <w:tc>
          <w:tcPr>
            <w:tcW w:type="dxa" w:w="2880"/>
          </w:tcPr>
          <w:p>
            <w:r>
              <w:t>Regulators (e.g., CHI)</w:t>
            </w:r>
          </w:p>
        </w:tc>
        <w:tc>
          <w:tcPr>
            <w:tcW w:type="dxa" w:w="2880"/>
          </w:tcPr>
          <w:p>
            <w:r>
              <w:t>Technical assistance, sandbox participation</w:t>
            </w:r>
          </w:p>
        </w:tc>
        <w:tc>
          <w:tcPr>
            <w:tcW w:type="dxa" w:w="2880"/>
          </w:tcPr>
          <w:p>
            <w:r>
              <w:t>Policy pilot design &amp; execution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