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Majour VBP &amp; VBHC – Venture Proposal for Redesign Health</w:t>
      </w:r>
    </w:p>
    <w:p>
      <w:r>
        <w:t>Majour is a Saudi-built platform focused on transforming procurement and care delivery through Value-Based Procurement (VBP) and Value-Based Healthcare (VBHC).</w:t>
      </w:r>
    </w:p>
    <w:p>
      <w:pPr>
        <w:pStyle w:val="Heading1"/>
      </w:pPr>
      <w:r>
        <w:t>1. The Opportunity</w:t>
      </w:r>
    </w:p>
    <w:p>
      <w:r>
        <w:t>- Saudi Arabia’s Vision 2030 mandates value-based reform across healthcare.</w:t>
        <w:br/>
        <w:t>- Billions spent annually by GOSI, NUPCO, and CNHI with no outcome linkage.</w:t>
        <w:br/>
        <w:t>- Majour introduces smart, outcomes-linked contracts and performance-based care models.</w:t>
      </w:r>
    </w:p>
    <w:p>
      <w:pPr>
        <w:pStyle w:val="Heading1"/>
      </w:pPr>
      <w:r>
        <w:t>2. Why Majour is Different</w:t>
      </w:r>
    </w:p>
    <w:p>
      <w:r>
        <w:t>- Built entirely in Saudi, with direct access to regulators and clients.</w:t>
        <w:br/>
        <w:t>- Not a tech product — a system-layer solution with clear commercial pathways.</w:t>
        <w:br/>
        <w:t>- Infrastructure already in place: CRO, capacity building, advisory team, pilot partners.</w:t>
      </w:r>
    </w:p>
    <w:p>
      <w:pPr>
        <w:pStyle w:val="Heading1"/>
      </w:pPr>
      <w:r>
        <w:t>3. Strategic Fit with Redesign</w:t>
      </w:r>
    </w:p>
    <w:p>
      <w:r>
        <w:t>- Deeply aligned with Redesign’s focus on systemic healthcare transformation.</w:t>
        <w:br/>
        <w:t>- High-impact, de-risked, and policy-proof business model.</w:t>
        <w:br/>
        <w:t>- Strong foundation for global replication in other emerging markets.</w:t>
      </w:r>
    </w:p>
    <w:p>
      <w:pPr>
        <w:pStyle w:val="Heading1"/>
      </w:pPr>
      <w:r>
        <w:t>4. Next Steps</w:t>
      </w:r>
    </w:p>
    <w:p>
      <w:r>
        <w:t>We’re inviting Redesign to co-build the venture. A short strategic sprint can finalize:</w:t>
        <w:br/>
        <w:t>- Investment scope &amp; milestone roadmap</w:t>
        <w:br/>
        <w:t>- Co-branding &amp; governance model</w:t>
        <w:br/>
        <w:t>- Pilot implementation with public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