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Majour VBP &amp; VBHC – Company Strategy Document</w:t>
      </w:r>
    </w:p>
    <w:p>
      <w:pPr>
        <w:pStyle w:val="Heading1"/>
      </w:pPr>
      <w:r>
        <w:t>1. Executive Summary</w:t>
      </w:r>
    </w:p>
    <w:p>
      <w:r>
        <w:t>Majour VBP &amp; VBHC is a Saudi-based transformation platform focused on advancing value-based healthcare and procurement. It serves as a national enabler of outcome-based contracts, VBHC implementation, and real-world data validation across health and procurement systems.</w:t>
      </w:r>
    </w:p>
    <w:p>
      <w:pPr>
        <w:pStyle w:val="Heading1"/>
      </w:pPr>
      <w:r>
        <w:t>2. Founding Team &amp; Structure</w:t>
      </w:r>
    </w:p>
    <w:p>
      <w:r>
        <w:t>CEO &amp; Chairman: Dr. Theeb Alkahtani</w:t>
      </w:r>
    </w:p>
    <w:p>
      <w:r>
        <w:t>COO: Ahmed A. Al-Maqtari</w:t>
      </w:r>
    </w:p>
    <w:p>
      <w:r>
        <w:t>CTO (Advisor): Mike Smith</w:t>
      </w:r>
    </w:p>
    <w:p>
      <w:r>
        <w:t>VBP Expert (Advisor): Brian Mangan</w:t>
      </w:r>
    </w:p>
    <w:p>
      <w:r>
        <w:t>Legal Advisor: Salman Alasiry</w:t>
      </w:r>
    </w:p>
    <w:p>
      <w:r>
        <w:t>CMO: Dr. Raed Al Tulayhi</w:t>
      </w:r>
    </w:p>
    <w:p>
      <w:pPr>
        <w:pStyle w:val="Heading1"/>
      </w:pPr>
      <w:r>
        <w:t>3. Vision &amp; Mission</w:t>
      </w:r>
    </w:p>
    <w:p>
      <w:r>
        <w:t>Vision: Redefine value in healthcare through outcome-based accountability.</w:t>
      </w:r>
    </w:p>
    <w:p>
      <w:r>
        <w:t>Mission: Build Saudi Arabia’s leading platform for VBHC and VBP through technology, talent, and policy alignment.</w:t>
      </w:r>
    </w:p>
    <w:p>
      <w:pPr>
        <w:pStyle w:val="Heading1"/>
      </w:pPr>
      <w:r>
        <w:t>4. Strategic Pillars</w:t>
      </w:r>
    </w:p>
    <w:p>
      <w:r>
        <w:t>- Value-Based Contracting</w:t>
      </w:r>
    </w:p>
    <w:p>
      <w:r>
        <w:t>- Smart Procurement</w:t>
      </w:r>
    </w:p>
    <w:p>
      <w:r>
        <w:t>- Data-Driven Outcomes</w:t>
      </w:r>
    </w:p>
    <w:p>
      <w:r>
        <w:t>- Capacity Building</w:t>
      </w:r>
    </w:p>
    <w:p>
      <w:r>
        <w:t>- Regulatory Enablement</w:t>
      </w:r>
    </w:p>
    <w:p>
      <w:pPr>
        <w:pStyle w:val="Heading1"/>
      </w:pPr>
      <w:r>
        <w:t>5. Core Capabilities</w:t>
      </w:r>
    </w:p>
    <w:p>
      <w:r>
        <w:t>- PROMs/PREMs Engine</w:t>
      </w:r>
    </w:p>
    <w:p>
      <w:r>
        <w:t>- Smart Contract Builder</w:t>
      </w:r>
    </w:p>
    <w:p>
      <w:r>
        <w:t>- Actuarial Modeling</w:t>
      </w:r>
    </w:p>
    <w:p>
      <w:r>
        <w:t>- VBP Clinics Enablement</w:t>
      </w:r>
    </w:p>
    <w:p>
      <w:r>
        <w:t>- RWE-Linked Procurement Models</w:t>
      </w:r>
    </w:p>
    <w:p>
      <w:pPr>
        <w:pStyle w:val="Heading1"/>
      </w:pPr>
      <w:r>
        <w:t>6. Operating Model</w:t>
      </w:r>
    </w:p>
    <w:p>
      <w:r>
        <w:t>- Enablement &amp; Ecosystem Builders: Nama CRO, Waraqa Publishing House, Nama Capacity Building Platform, Integrative Health ACO, Integra RCM, Majour MGA</w:t>
      </w:r>
    </w:p>
    <w:p>
      <w:r>
        <w:t>- Productization Engine</w:t>
      </w:r>
    </w:p>
    <w:p>
      <w:r>
        <w:t>- Policy Co-Design with Regulators</w:t>
      </w:r>
    </w:p>
    <w:p>
      <w:pPr>
        <w:pStyle w:val="Heading1"/>
      </w:pPr>
      <w:r>
        <w:t>7. Product Portfolio</w:t>
      </w:r>
    </w:p>
    <w:p>
      <w:r>
        <w:t>- PROMs/PREMs Platform</w:t>
      </w:r>
    </w:p>
    <w:p>
      <w:r>
        <w:t>- Outcome-Linked Bundles</w:t>
      </w:r>
    </w:p>
    <w:p>
      <w:r>
        <w:t>- Smart Procurement Contracts</w:t>
      </w:r>
    </w:p>
    <w:p>
      <w:r>
        <w:t>- Population Health Analytics</w:t>
      </w:r>
    </w:p>
    <w:p>
      <w:r>
        <w:t>- RWE Reporting Tools</w:t>
      </w:r>
    </w:p>
    <w:p>
      <w:pPr>
        <w:pStyle w:val="Heading1"/>
      </w:pPr>
      <w:r>
        <w:t>8. Sample Use Cases</w:t>
      </w:r>
    </w:p>
    <w:p>
      <w:r>
        <w:t>- Maternity Care</w:t>
      </w:r>
    </w:p>
    <w:p>
      <w:r>
        <w:t>- Wound Care</w:t>
      </w:r>
    </w:p>
    <w:p>
      <w:r>
        <w:t>- Occupational Injury</w:t>
      </w:r>
    </w:p>
    <w:p>
      <w:r>
        <w:t>- High-Cost Drugs</w:t>
      </w:r>
    </w:p>
    <w:p>
      <w:r>
        <w:t>- Physiotherapy and Rehabilitation</w:t>
      </w:r>
    </w:p>
    <w:p>
      <w:pPr>
        <w:pStyle w:val="Heading1"/>
      </w:pPr>
      <w:r>
        <w:t>9. Revenue Model &amp; Financial Strategy</w:t>
      </w:r>
    </w:p>
    <w:p>
      <w:r>
        <w:t>- SaaS Subscriptions</w:t>
      </w:r>
    </w:p>
    <w:p>
      <w:r>
        <w:t>- Outcome-Based Contracting Fees</w:t>
      </w:r>
    </w:p>
    <w:p>
      <w:r>
        <w:t>- VBP Advisory &amp; Capacity Building</w:t>
      </w:r>
    </w:p>
    <w:p>
      <w:r>
        <w:t>- Data Commercialization</w:t>
      </w:r>
    </w:p>
    <w:p>
      <w:pPr>
        <w:pStyle w:val="Heading1"/>
      </w:pPr>
      <w:r>
        <w:t>10. Regulatory &amp; Policy Alignment</w:t>
      </w:r>
    </w:p>
    <w:p>
      <w:r>
        <w:t>- Alignment with CHI, NUPCO, CNHI, KFSHRC, CBAHI, EXPRO, IA, and Vision 2030 HSTP</w:t>
      </w:r>
    </w:p>
    <w:p>
      <w:r>
        <w:t>- Direct engagement with national special networks (e.g., military, Aramco, Royal Commission, Sports)</w:t>
      </w:r>
    </w:p>
    <w:p>
      <w:pPr>
        <w:pStyle w:val="Heading1"/>
      </w:pPr>
      <w:r>
        <w:t>11. Talent &amp; Capacity Building Strategy</w:t>
      </w:r>
    </w:p>
    <w:p>
      <w:r>
        <w:t>- Saudi-led team with international advisory network</w:t>
      </w:r>
    </w:p>
    <w:p>
      <w:r>
        <w:t>- Advisors: Brian Mangan, Hans Bax, Sally Lewis</w:t>
      </w:r>
    </w:p>
    <w:p>
      <w:r>
        <w:t>- Capacity built through Nama Academy and hospitals</w:t>
      </w:r>
    </w:p>
    <w:p>
      <w:pPr>
        <w:pStyle w:val="Heading1"/>
      </w:pPr>
      <w:r>
        <w:t>12. Technology Stack &amp; Data Infrastructure</w:t>
      </w:r>
    </w:p>
    <w:p>
      <w:r>
        <w:t>- Modular stack: PROMs Engine, Smart Contracts, Pathway Builder, RWE Registry, Blockchain Ledger, NPHIES APIs</w:t>
      </w:r>
    </w:p>
    <w:p>
      <w:r>
        <w:t>- Data localization and GDPR-compliant de-identification</w:t>
      </w:r>
    </w:p>
    <w:p>
      <w:pPr>
        <w:pStyle w:val="Heading1"/>
      </w:pPr>
      <w:r>
        <w:t>13. Implementation Playbook</w:t>
      </w:r>
    </w:p>
    <w:p>
      <w:r>
        <w:t>- Phase 1: Scoping</w:t>
      </w:r>
    </w:p>
    <w:p>
      <w:r>
        <w:t>- Phase 2: Pathway Design</w:t>
      </w:r>
    </w:p>
    <w:p>
      <w:r>
        <w:t>- Phase 3: Integration</w:t>
      </w:r>
    </w:p>
    <w:p>
      <w:r>
        <w:t>- Phase 4: Monitoring &amp; Scale-up</w:t>
      </w:r>
    </w:p>
    <w:p>
      <w:pPr>
        <w:pStyle w:val="Heading1"/>
      </w:pPr>
      <w:r>
        <w:t>14. Growth &amp; Strategic Vision (2025–2030)</w:t>
      </w:r>
    </w:p>
    <w:p>
      <w:r>
        <w:t>By 2025: Foundation Phase</w:t>
      </w:r>
    </w:p>
    <w:p>
      <w:r>
        <w:t>- Secure sandbox approval from Insurance Authority and CHI</w:t>
      </w:r>
    </w:p>
    <w:p>
      <w:r>
        <w:t>- Complete 5 pilot contracts across: Maternity, Wound care, Occupational injury, High-cost specialty drugs, Mental health or physiotherapy</w:t>
      </w:r>
    </w:p>
    <w:p>
      <w:r>
        <w:t>- Build full operational stack, governance structure, and local executive team</w:t>
      </w:r>
    </w:p>
    <w:p>
      <w:r>
        <w:t>- Train first 100 professionals across hospitals, TPAs, and regulators</w:t>
      </w:r>
    </w:p>
    <w:p/>
    <w:p>
      <w:r>
        <w:t>By 2026–2027: National Expansion</w:t>
      </w:r>
    </w:p>
    <w:p>
      <w:r>
        <w:t>- Partner with NUPCO and EXPRO to implement VBP tenders</w:t>
      </w:r>
    </w:p>
    <w:p>
      <w:r>
        <w:t>- Formalize long-term agreements with: CNHI, GOSI, Leading health clusters</w:t>
      </w:r>
    </w:p>
    <w:p>
      <w:r>
        <w:t>- Launch first bundled insurance product with PROMs-linked premium rebates</w:t>
      </w:r>
    </w:p>
    <w:p>
      <w:r>
        <w:t>- Deploy in at least 30 hospitals and 5 payer groups</w:t>
      </w:r>
    </w:p>
    <w:p/>
    <w:p>
      <w:r>
        <w:t>By 2028–2030: Global Positioning &amp; Export</w:t>
      </w:r>
    </w:p>
    <w:p>
      <w:r>
        <w:t>- Position Saudi Arabia as the regional hub for VBP/VBHC technology</w:t>
      </w:r>
    </w:p>
    <w:p>
      <w:r>
        <w:t>- Launch spin-off product lines (e.g., PROMs registry SaaS, RWE dashboards, DRG optimizers)</w:t>
      </w:r>
    </w:p>
    <w:p>
      <w:r>
        <w:t>- Collaborate with SDAIA, SFDA, and academic partners to lead MENA-wide value transformation</w:t>
      </w:r>
    </w:p>
    <w:p>
      <w:r>
        <w:t>- Export Majour model to GCC, North Africa, and selected LMICs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