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Saudi Arabia’s First Value-Based Medical MGA (v-MGA)</w:t>
      </w:r>
    </w:p>
    <w:p>
      <w:r>
        <w:t>Submitted by: Dr. Theeb Ayedh Alkahtani</w:t>
        <w:br/>
        <w:t>Company: Majour VBP &amp; VBHC</w:t>
        <w:br/>
      </w:r>
    </w:p>
    <w:p>
      <w:pPr>
        <w:pStyle w:val="Heading2"/>
      </w:pPr>
      <w:r>
        <w:t>1. Executive Summary</w:t>
      </w:r>
    </w:p>
    <w:p>
      <w:r>
        <w:t>We propose the licensing of Saudi Arabia’s first Medical MGA — an innovation model that transforms the health insurance ecosystem by embedding value-based healthcare, population health management, and outcome-based contracts directly into the insurance value chain.</w:t>
        <w:br/>
        <w:br/>
        <w:t>Unlike traditional MGAs, our model — called a Value-Based MGA (v-MGA) — goes beyond distribution and claims oversight. It orchestrates the full care journey using data, digital infrastructure, and modular benefits tailored to national cost drivers (e.g., maternity, chronic disease, athlete health, IVF, and longevity).</w:t>
        <w:br/>
        <w:br/>
        <w:t>This proposal is fully aligned with Vision 2030, CHI sandbox priorities, Monsha’at SME goals, and the Insurance Authority’s mandate to improve quality, reduce fraud, and ensure sustainability.</w:t>
      </w:r>
    </w:p>
    <w:p>
      <w:pPr>
        <w:pStyle w:val="Heading2"/>
      </w:pPr>
      <w:r>
        <w:t>2. Problem Statement: Market Pain Points</w:t>
      </w:r>
    </w:p>
    <w:p>
      <w:r>
        <w:t>The current Saudi health insurance ecosystem is fragmented and reactive, with:</w:t>
        <w:br/>
        <w:t>- Rising Medical Loss Ratios (MLRs): National average increased from 81% to 86% (2020–2023).</w:t>
        <w:br/>
        <w:t>- &gt;65% of claims concentrated in outpatient and maternity care, yet without targeted benefits.</w:t>
        <w:br/>
        <w:t>- &gt;60% of insurer losses stem from chronic disease and maternity clusters.</w:t>
        <w:br/>
        <w:t>- High fraud levels in private insurance (8–15% of claims).</w:t>
        <w:br/>
        <w:t>- SME exclusion: Over 40% of Saudi SMEs are inactive or family-run and cannot access tailored health benefits.</w:t>
        <w:br/>
        <w:t>- Siloed operations: Brokers, TPAs, and providers function separately — no coordination or accountability for health outcomes.</w:t>
        <w:br/>
        <w:t>- No existing AI-driven or value-based insurance product in the market.</w:t>
      </w:r>
    </w:p>
    <w:p>
      <w:pPr>
        <w:pStyle w:val="Heading2"/>
      </w:pPr>
      <w:r>
        <w:t>3. The Solution: Majour Value-Based MGA (v-MGA)</w:t>
      </w:r>
    </w:p>
    <w:p>
      <w:r>
        <w:t>Our proposed v-MGA model integrates insurance design, care delivery, data analytics, and member engagement into a unified full-stack platform. Key differentiators include:</w:t>
        <w:br/>
        <w:br/>
        <w:t>✅ Full-Stack Capabilities:</w:t>
        <w:br/>
        <w:t>- Product design, benefit packaging, and digital sales</w:t>
        <w:br/>
        <w:t>- Smart provider networks with value-based contracts</w:t>
        <w:br/>
        <w:t>- Care delivery oversight via PHM, CDM, and RCM integration</w:t>
        <w:br/>
        <w:t>- AI-powered digital wallet to track PROMs/PREMs and patient outcomes</w:t>
        <w:br/>
        <w:t>- Outcomes-linked gainsharing and contracting</w:t>
        <w:br/>
        <w:br/>
        <w:t>✅ Strategic Focus on Cost Drivers:</w:t>
        <w:br/>
        <w:t>- Pregnancy &amp; maternity</w:t>
        <w:br/>
        <w:t>- Chronic disease clusters</w:t>
        <w:br/>
        <w:t>- High-cost medications (via Saudi Drug Plan model)</w:t>
        <w:br/>
        <w:t>- Occupational injuries (GOSI-linked)</w:t>
        <w:br/>
        <w:t>- Longevity &amp; athlete insurance</w:t>
        <w:br/>
        <w:t>- Preventive diagnostics and screening</w:t>
        <w:br/>
        <w:br/>
        <w:t>✅ Regulatory Readiness:</w:t>
        <w:br/>
        <w:t>- CHI sandbox–aligned for VBHC &amp; VBP</w:t>
        <w:br/>
        <w:t>- Integrated with NPHIES, ZATCA, and SDAIA</w:t>
        <w:br/>
        <w:t>- Compliant with Insurance Authority + Monsha’at requirements</w:t>
      </w:r>
    </w:p>
    <w:p>
      <w:pPr>
        <w:pStyle w:val="Heading2"/>
      </w:pPr>
      <w:r>
        <w:t>4. Why It’s Innovative</w:t>
      </w:r>
    </w:p>
    <w:p>
      <w:r>
        <w:t>This is not a standard MGA. It’s the first v-MGA in Saudi Arabia, and likely the region. The model:</w:t>
        <w:br/>
        <w:t>- Redefines insurance as a care and outcomes management engine — not just financial risk sharing.</w:t>
        <w:br/>
        <w:t>- Captures outcomes at the patient level via PROMs, PREMs, and engagement tools.</w:t>
        <w:br/>
        <w:t>- Orchestrates digital and physical care pathways, rather than just managing claims.</w:t>
        <w:br/>
        <w:t>- De-risks insurers while empowering SMEs, employers, and vulnerable populations.</w:t>
      </w:r>
    </w:p>
    <w:p>
      <w:pPr>
        <w:pStyle w:val="Heading2"/>
      </w:pPr>
      <w:r>
        <w:t>5. Capital Structure &amp; Risk Allocation</w:t>
      </w:r>
    </w:p>
    <w:p>
      <w:r>
        <w:t>- Underwriting Risk: Held entirely by licensed fronting insurers, supported by reinsurers.</w:t>
        <w:br/>
        <w:t>- v-MGA Role: Product development, digital platform, care coordination, and performance management.</w:t>
        <w:br/>
        <w:t>- Revenue Model:</w:t>
        <w:br/>
        <w:t xml:space="preserve">  • Service fees (per member/per bundle)</w:t>
        <w:br/>
        <w:t xml:space="preserve">  • Gainsharing on cost savings</w:t>
        <w:br/>
        <w:t xml:space="preserve">  • Care coordination margin from PHM/CDM services</w:t>
        <w:br/>
        <w:t>- No insurance capital required by the v-MGA.</w:t>
      </w:r>
    </w:p>
    <w:p>
      <w:pPr>
        <w:pStyle w:val="Heading2"/>
      </w:pPr>
      <w:r>
        <w:t>6. Licensing Request &amp; Next Steps</w:t>
      </w:r>
    </w:p>
    <w:p>
      <w:r>
        <w:t>We are formally requesting:</w:t>
        <w:br/>
        <w:t>- Pre-approval under the Insurance Authority sandbox, followed by</w:t>
        <w:br/>
        <w:t>- Full licensing of Majour as the first Medical MGA (non-risk-bearing).</w:t>
        <w:br/>
        <w:br/>
        <w:t>This structure is comparable to global MGA precedents in the UK and U.S., adapted to local compliance.</w:t>
      </w:r>
    </w:p>
    <w:p>
      <w:pPr>
        <w:pStyle w:val="Heading2"/>
      </w:pPr>
      <w:r>
        <w:t>7. Strategic Partners and Advisors</w:t>
      </w:r>
    </w:p>
    <w:p>
      <w:r>
        <w:t>The project is led by Dr. Theeb Alkahtani, supported by:</w:t>
        <w:br/>
        <w:t>- Ahmed A. Al-Maqtari – COO (Value-Based Procurement &amp; HTA Expert)</w:t>
        <w:br/>
        <w:t>- Brian Mangan – Senior Advisor (VBP Expert)</w:t>
        <w:br/>
        <w:t>- Mike Smith – CTO (Insurance Tech &amp; AI)</w:t>
        <w:br/>
        <w:t>- Dr. Raed Al Tulayhi – CMO</w:t>
        <w:br/>
        <w:br/>
        <w:t>Advisors will build Saudi talent pipelines and ensure local capability transfer.</w:t>
      </w:r>
    </w:p>
    <w:p>
      <w:pPr>
        <w:pStyle w:val="Heading2"/>
      </w:pPr>
      <w:r>
        <w:t>8. Alignment with Vision 2030</w:t>
      </w:r>
    </w:p>
    <w:p>
      <w:r>
        <w:t>- Increases labor productivity by enabling SME coverage</w:t>
        <w:br/>
        <w:t>- Reduces long-term cost burdens through preventive value-based design</w:t>
        <w:br/>
        <w:t>- Supports healthspan and longevity initiatives</w:t>
        <w:br/>
        <w:t>- Elevates Saudi Arabia as a global reference model in value-based health financing</w:t>
      </w:r>
    </w:p>
    <w:p>
      <w:pPr>
        <w:pStyle w:val="Heading2"/>
      </w:pPr>
      <w:r>
        <w:t>Attachments</w:t>
      </w:r>
    </w:p>
    <w:p>
      <w:r>
        <w:t>- Pitch Deck: Ma’jour V-MGA.pdf</w:t>
        <w:br/>
        <w:t>- Regulatory Reference Notes (upon request)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