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Majour VBP &amp; VBHC – Investment Treasury &amp; Co-Build Invitation</w:t>
      </w:r>
    </w:p>
    <w:p>
      <w:r>
        <w:t>Fully Saudi-Built Platform for Value-Based Procurement &amp; Healthcare</w:t>
      </w:r>
    </w:p>
    <w:p>
      <w:pPr>
        <w:pStyle w:val="Heading2"/>
      </w:pPr>
      <w:r>
        <w:t>1. Executive Summary</w:t>
      </w:r>
    </w:p>
    <w:p>
      <w:r>
        <w:t>Majour VBP &amp; VBHC is a next-generation Saudi company dedicated to transforming healthcare procurement and clinical contracting through locally developed, value-based models. We aim to lead the region in designing and implementing outcome-linked care agreements, cost-efficiency frameworks, and smart payment systems tailored to the realities of GCC healthcare.</w:t>
        <w:br/>
        <w:br/>
        <w:t>- HQ: Riyadh, Saudi Arabia</w:t>
        <w:br/>
        <w:t>- CEO/Chairman: Dr. Theeb Alkahtani</w:t>
        <w:br/>
        <w:t>- General Manager (GM): Ahmed A. Al-Maqtari</w:t>
        <w:br/>
        <w:t>- Model: VBP contracting + VBHC transformation</w:t>
        <w:br/>
        <w:t>- Focus: Health systems, insurance, public/private procurement</w:t>
      </w:r>
    </w:p>
    <w:p>
      <w:pPr>
        <w:pStyle w:val="Heading2"/>
      </w:pPr>
      <w:r>
        <w:t>2. The Problem</w:t>
      </w:r>
    </w:p>
    <w:p>
      <w:r>
        <w:t>Global and regional health systems remain locked into outdated, volume-based procurement models. As a result:</w:t>
        <w:br/>
        <w:t>- Over $300B is wasted globally on inefficient healthcare purchasing.</w:t>
        <w:br/>
        <w:t>- Up to 34% of hospital budgets are lost to inappropriate procurement.</w:t>
        <w:br/>
        <w:t>- In Saudi Arabia, billions are spent annually on fragmented, non-value-verified contracts.</w:t>
      </w:r>
    </w:p>
    <w:p>
      <w:pPr>
        <w:pStyle w:val="Heading2"/>
      </w:pPr>
      <w:r>
        <w:t>3. Our Solution</w:t>
      </w:r>
    </w:p>
    <w:p>
      <w:r>
        <w:t>Majour provides a Saudi-native platform for health systems, regulators, and payers to shift from volume to value by:</w:t>
        <w:br/>
        <w:t>- Designing VBP frameworks and smart contract templates.</w:t>
        <w:br/>
        <w:t>- Creating outcome-based care pathways with local KPIs and PROMs.</w:t>
        <w:br/>
        <w:t>- Embedding trained teams inside client sites for VBP clinic setup and oversight.</w:t>
        <w:br/>
        <w:t>- Integrating performance monitoring and gain-share mechanisms.</w:t>
        <w:br/>
        <w:t>- Supporting ongoing settlement, reporting, and improvement cycles.</w:t>
      </w:r>
    </w:p>
    <w:p>
      <w:pPr>
        <w:pStyle w:val="Heading2"/>
      </w:pPr>
      <w:r>
        <w:t>4. Strategic Edge</w:t>
      </w:r>
    </w:p>
    <w:p>
      <w:r>
        <w:t>Majour is:</w:t>
        <w:br/>
        <w:t>- Locally built and led, ensuring full alignment with national priorities and regulatory frameworks.</w:t>
        <w:br/>
        <w:t>- Focused exclusively on value-based procurement and healthcare, with no mission drift.</w:t>
        <w:br/>
        <w:t>- Designed for clarity and execution, offering purpose-built models, not general-purpose tech.</w:t>
        <w:br/>
        <w:t>- Structured to scale, with a clear playbook for both public and private sector engagement.</w:t>
      </w:r>
    </w:p>
    <w:p>
      <w:pPr>
        <w:pStyle w:val="Heading2"/>
      </w:pPr>
      <w:r>
        <w:t>5. Market Opportunity</w:t>
      </w:r>
    </w:p>
    <w:p>
      <w:r>
        <w:t>Saudi Arabia and the broader GCC are undergoing a massive healthcare transformation:</w:t>
        <w:br/>
        <w:t>- NUPCO, CNHI, and EXPRO are actively seeking value-based procurement models.</w:t>
        <w:br/>
        <w:t>- GOSI, the Health Holding Company, and major insurers are pushing for cost-effective, outcomes-driven care.</w:t>
        <w:br/>
        <w:t>- By 2030, over SAR 500B in cumulative healthcare spend will require smarter contracting to ensure sustainability.</w:t>
        <w:br/>
        <w:br/>
        <w:t>Majour is positioned to become the go-to partner for:</w:t>
        <w:br/>
        <w:t>- Designing value-based frameworks</w:t>
        <w:br/>
        <w:t>- Running bundled care pilots</w:t>
        <w:br/>
        <w:t>- Supporting digital transformation of procurement across sectors</w:t>
      </w:r>
    </w:p>
    <w:p>
      <w:pPr>
        <w:pStyle w:val="Heading2"/>
      </w:pPr>
      <w:r>
        <w:t>6. Operating Model</w:t>
      </w:r>
    </w:p>
    <w:p>
      <w:r>
        <w:t>Majour operates with an integrated value-based execution model, consisting of:</w:t>
        <w:br/>
        <w:br/>
        <w:t>1. Strategy &amp; Design Unit</w:t>
        <w:br/>
        <w:t>- Contract design (VBP &amp; VBHC)</w:t>
        <w:br/>
        <w:t>- Pathway alignment with clinical and cost outcomes</w:t>
        <w:br/>
        <w:br/>
        <w:t>2. VBP Clinics &amp; Embedded Teams</w:t>
        <w:br/>
        <w:t>- On-site micro-units that manage bundled payment deployment, monitor outcomes, and track contract adherence</w:t>
        <w:br/>
        <w:br/>
        <w:t>3. Real-World Data &amp; Outcome Monitoring</w:t>
        <w:br/>
        <w:t>- Registries, dashboards, and performance tools integrated with PROMs and cost indicators</w:t>
        <w:br/>
        <w:br/>
        <w:t>4. Enablement &amp; Ecosystem Builders</w:t>
        <w:br/>
        <w:t>- Nama CRO – for research design and real-world validation</w:t>
        <w:br/>
        <w:t>- Nama Capacity Platform – for training, staffing, and VBP clinic operations</w:t>
        <w:br/>
        <w:t>- (Optional clients can license registry or analytics tools)</w:t>
      </w:r>
    </w:p>
    <w:p>
      <w:pPr>
        <w:pStyle w:val="Heading2"/>
      </w:pPr>
      <w:r>
        <w:t>7. Revenue Model</w:t>
      </w:r>
    </w:p>
    <w:p>
      <w:r>
        <w:t>Majour earns revenue via:</w:t>
        <w:br/>
        <w:t>- Design Fees – for VBP frameworks and bundled payment templates</w:t>
        <w:br/>
        <w:t>- Implementation Packages – for pathway setup, staffing, and training</w:t>
        <w:br/>
        <w:t>- Recurring Contracts – for outcome monitoring and settlement</w:t>
        <w:br/>
        <w:t>- Shared Savings – from gain-share agreements with providers or payers</w:t>
      </w:r>
    </w:p>
    <w:p>
      <w:pPr>
        <w:pStyle w:val="Heading2"/>
      </w:pPr>
      <w:r>
        <w:t>8. Team</w:t>
      </w:r>
    </w:p>
    <w:p>
      <w:r>
        <w:t>- CEO &amp; Chairman: Dr. Theeb Alkahtani – Ecosystem architect and national leader in health system transformation</w:t>
        <w:br/>
        <w:t>- General Manager (GM): Ahmed A. Al-Maqtari – Health economist and operator leading execution across all Majour projects</w:t>
        <w:br/>
        <w:t>- Chief Medical Officer (CMO): Dr. Raed Al Tulayhi – Senior clinical expert in outcome-based care delivery</w:t>
        <w:br/>
        <w:br/>
        <w:t>Advisors:</w:t>
        <w:br/>
        <w:t>- Mike Smith (CTO) – Infrastructure &amp; analytics advisor</w:t>
        <w:br/>
        <w:t>- Brian Mangan – Value-based procurement expert</w:t>
        <w:br/>
        <w:t>- Hans Bax – Global VBHC advisor</w:t>
        <w:br/>
        <w:t>- Sally Lewis – Outcomes commissioning and PROMs expert</w:t>
        <w:br/>
        <w:t>- Legal Adviser: Salman Al Asiry</w:t>
      </w:r>
    </w:p>
    <w:p>
      <w:pPr>
        <w:pStyle w:val="Heading2"/>
      </w:pPr>
      <w:r>
        <w:t>9. Investment Ask</w:t>
      </w:r>
    </w:p>
    <w:p>
      <w:r>
        <w:t>We are inviting partners to:</w:t>
        <w:br/>
        <w:t>- Co-build Majour as Saudi’s leading VBP/VBHC platform</w:t>
        <w:br/>
        <w:t>- Participate in a $5M seed round</w:t>
        <w:br/>
        <w:t xml:space="preserve">  - $2.5M for team and infrastructure</w:t>
        <w:br/>
        <w:t xml:space="preserve">  - $1.5M for proof-of-concept projects with public clients</w:t>
        <w:br/>
        <w:t xml:space="preserve">  - $1M for productization and legal frameworks</w:t>
      </w:r>
    </w:p>
    <w:p>
      <w:pPr>
        <w:pStyle w:val="Heading2"/>
      </w:pPr>
      <w:r>
        <w:t>10. Use of Funds</w:t>
      </w:r>
    </w:p>
    <w:p>
      <w:r>
        <w:t>| Category                  | Allocation (SAR) |</w:t>
        <w:br/>
        <w:t>|---------------------------|------------------|</w:t>
        <w:br/>
        <w:t>| Team &amp; Local Talent       | 5M               |</w:t>
        <w:br/>
        <w:t>| Pilot Projects (Design &amp; Staffing) | 3M     |</w:t>
        <w:br/>
        <w:t>| Productization &amp; Legal    | 2M               |</w:t>
      </w:r>
    </w:p>
    <w:p>
      <w:pPr>
        <w:pStyle w:val="Heading2"/>
      </w:pPr>
      <w:r>
        <w:t>11. Exit Strategy</w:t>
      </w:r>
    </w:p>
    <w:p>
      <w:r>
        <w:t>- Strategic acquisition by leading health insurers, TPA platforms, or procurement bodies</w:t>
        <w:br/>
        <w:t>- Integration with government or semi-government procurement frameworks</w:t>
        <w:br/>
        <w:t>- Long-term dividends via public-private shared savings programs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