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CE55" w14:textId="55301608" w:rsidR="00416336" w:rsidRPr="00416336" w:rsidRDefault="00416336" w:rsidP="00416336">
      <w:pPr>
        <w:autoSpaceDE w:val="0"/>
        <w:autoSpaceDN w:val="0"/>
        <w:adjustRightInd w:val="0"/>
        <w:spacing w:after="321" w:line="240" w:lineRule="auto"/>
        <w:rPr>
          <w:rFonts w:ascii="Calibri" w:hAnsi="Calibri" w:cs="Calibri"/>
          <w:b/>
          <w:bCs/>
          <w:kern w:val="0"/>
          <w:sz w:val="48"/>
          <w:szCs w:val="48"/>
        </w:rPr>
      </w:pPr>
      <w:r w:rsidRPr="00416336">
        <w:rPr>
          <w:rFonts w:ascii="Calibri" w:hAnsi="Calibri" w:cs="Calibri"/>
          <w:b/>
          <w:bCs/>
          <w:kern w:val="0"/>
          <w:sz w:val="48"/>
          <w:szCs w:val="48"/>
        </w:rPr>
        <w:t>MAJOUR Patient Engagement Platform: Investment Opportunity</w:t>
      </w:r>
    </w:p>
    <w:p w14:paraId="0E9157AB" w14:textId="4B9EE0C0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i/>
          <w:iCs/>
          <w:kern w:val="0"/>
          <w:sz w:val="28"/>
          <w:szCs w:val="28"/>
        </w:rPr>
        <w:t>Next-Generation Patient Outcomes &amp; Behavioural Health Intelligence Platform</w:t>
      </w:r>
    </w:p>
    <w:p w14:paraId="78DCE4DA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4D448611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Overview</w:t>
      </w:r>
    </w:p>
    <w:p w14:paraId="58D81237" w14:textId="4FF9DFDA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b/>
          <w:bCs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is transforming how healthcare measures and validates patient outcomes. The platform unites </w:t>
      </w:r>
      <w:r w:rsidRPr="00416336">
        <w:rPr>
          <w:rFonts w:ascii="Calibri" w:hAnsi="Calibri" w:cs="Calibri"/>
          <w:i/>
          <w:iCs/>
          <w:kern w:val="0"/>
        </w:rPr>
        <w:t>Patient-Reported Outcome Measures (PROMs)</w:t>
      </w:r>
      <w:r w:rsidRPr="00416336">
        <w:rPr>
          <w:rFonts w:ascii="Calibri" w:hAnsi="Calibri" w:cs="Calibri"/>
          <w:kern w:val="0"/>
        </w:rPr>
        <w:t xml:space="preserve">, </w:t>
      </w:r>
      <w:r w:rsidRPr="00416336">
        <w:rPr>
          <w:rFonts w:ascii="Calibri" w:hAnsi="Calibri" w:cs="Calibri"/>
          <w:i/>
          <w:iCs/>
          <w:kern w:val="0"/>
        </w:rPr>
        <w:t>Patient-Reported Experience Measures (PREMs)</w:t>
      </w:r>
      <w:r w:rsidRPr="00416336">
        <w:rPr>
          <w:rFonts w:ascii="Calibri" w:hAnsi="Calibri" w:cs="Calibri"/>
          <w:kern w:val="0"/>
        </w:rPr>
        <w:t xml:space="preserve">, and </w:t>
      </w:r>
      <w:r w:rsidRPr="00416336">
        <w:rPr>
          <w:rFonts w:ascii="Calibri" w:hAnsi="Calibri" w:cs="Calibri"/>
          <w:i/>
          <w:iCs/>
          <w:kern w:val="0"/>
        </w:rPr>
        <w:t>real-world behavioural data</w:t>
      </w:r>
      <w:r w:rsidRPr="00416336">
        <w:rPr>
          <w:rFonts w:ascii="Calibri" w:hAnsi="Calibri" w:cs="Calibri"/>
          <w:kern w:val="0"/>
        </w:rPr>
        <w:t xml:space="preserve"> from wearables into one AI-powered intelligence ecosystem.</w:t>
      </w:r>
    </w:p>
    <w:p w14:paraId="743FB23A" w14:textId="15C3D325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By merging reported outcomes with verified behavioural evidence, </w:t>
      </w:r>
      <w:proofErr w:type="spellStart"/>
      <w:r>
        <w:rPr>
          <w:rFonts w:ascii="Calibri" w:hAnsi="Calibri" w:cs="Calibri"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bridges the gap between perception and reality—enabling providers and payers to make decisions grounded in validated, real-world data.</w:t>
      </w:r>
    </w:p>
    <w:p w14:paraId="789E8921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74FFAEF2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Key Platform Features</w:t>
      </w:r>
    </w:p>
    <w:p w14:paraId="0FE772C7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1. PROMs &amp; PREMs Collection Engine</w:t>
      </w:r>
    </w:p>
    <w:p w14:paraId="3D2AEF52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Multi-modal engagement through mobile, web, SMS, WhatsApp, and voice channels ensures inclusion and consistency.</w:t>
      </w:r>
    </w:p>
    <w:p w14:paraId="332BEB04" w14:textId="77777777" w:rsidR="00416336" w:rsidRPr="00416336" w:rsidRDefault="00416336" w:rsidP="00416336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b/>
          <w:bCs/>
          <w:kern w:val="0"/>
        </w:rPr>
        <w:t>AI-powered call centre</w:t>
      </w:r>
      <w:r w:rsidRPr="00416336">
        <w:rPr>
          <w:rFonts w:ascii="Calibri" w:hAnsi="Calibri" w:cs="Calibri"/>
          <w:kern w:val="0"/>
        </w:rPr>
        <w:t xml:space="preserve"> in 20+ languages actively follows up with non-responders.</w:t>
      </w:r>
    </w:p>
    <w:p w14:paraId="02354552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Reliable outcome data with minimal administrative effort.</w:t>
      </w:r>
    </w:p>
    <w:p w14:paraId="50B108F2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32B10190" w14:textId="5554DE44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2. AI</w:t>
      </w:r>
      <w:r w:rsidR="00E1008F">
        <w:rPr>
          <w:rFonts w:ascii="Calibri" w:hAnsi="Calibri" w:cs="Calibri"/>
          <w:b/>
          <w:bCs/>
          <w:kern w:val="0"/>
          <w:sz w:val="28"/>
          <w:szCs w:val="28"/>
        </w:rPr>
        <w:t>-driven</w:t>
      </w: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 xml:space="preserve"> Translation &amp; Localization</w:t>
      </w:r>
    </w:p>
    <w:p w14:paraId="4B95AD08" w14:textId="4B1B8346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Real-time medical translation and locali</w:t>
      </w:r>
      <w:r w:rsidR="00E1008F">
        <w:rPr>
          <w:rFonts w:ascii="Calibri" w:hAnsi="Calibri" w:cs="Calibri"/>
          <w:kern w:val="0"/>
        </w:rPr>
        <w:t>s</w:t>
      </w:r>
      <w:r w:rsidRPr="00416336">
        <w:rPr>
          <w:rFonts w:ascii="Calibri" w:hAnsi="Calibri" w:cs="Calibri"/>
          <w:kern w:val="0"/>
        </w:rPr>
        <w:t>ation into 50+ languages.</w:t>
      </w:r>
    </w:p>
    <w:p w14:paraId="6FF39172" w14:textId="0B23E1F7" w:rsidR="00416336" w:rsidRPr="00416336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Enables simultaneous global deployment</w:t>
      </w:r>
      <w:r w:rsidR="00E1008F">
        <w:rPr>
          <w:rFonts w:ascii="Calibri" w:hAnsi="Calibri" w:cs="Calibri"/>
          <w:b/>
          <w:bCs/>
          <w:kern w:val="0"/>
        </w:rPr>
        <w:t xml:space="preserve"> and improves data validity</w:t>
      </w:r>
      <w:r w:rsidRPr="00416336">
        <w:rPr>
          <w:rFonts w:ascii="Calibri" w:hAnsi="Calibri" w:cs="Calibri"/>
          <w:b/>
          <w:bCs/>
          <w:kern w:val="0"/>
        </w:rPr>
        <w:t>.</w:t>
      </w:r>
    </w:p>
    <w:p w14:paraId="6E1FB9D9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5229A833" w14:textId="62AFFAD2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 xml:space="preserve">3. </w:t>
      </w:r>
      <w:r w:rsidR="00E1008F" w:rsidRPr="00416336">
        <w:rPr>
          <w:rFonts w:ascii="Calibri" w:hAnsi="Calibri" w:cs="Calibri"/>
          <w:b/>
          <w:bCs/>
          <w:kern w:val="0"/>
          <w:sz w:val="28"/>
          <w:szCs w:val="28"/>
        </w:rPr>
        <w:t>Behavioural</w:t>
      </w: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 xml:space="preserve"> Health Tracking</w:t>
      </w:r>
    </w:p>
    <w:p w14:paraId="23269BCC" w14:textId="79278F58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Integration with</w:t>
      </w:r>
      <w:r w:rsidR="00E1008F">
        <w:rPr>
          <w:rFonts w:ascii="Calibri" w:hAnsi="Calibri" w:cs="Calibri"/>
          <w:kern w:val="0"/>
        </w:rPr>
        <w:t xml:space="preserve"> wearables and fitness trackers such as</w:t>
      </w:r>
      <w:r w:rsidRPr="00416336">
        <w:rPr>
          <w:rFonts w:ascii="Calibri" w:hAnsi="Calibri" w:cs="Calibri"/>
          <w:kern w:val="0"/>
        </w:rPr>
        <w:t xml:space="preserve"> Apple Health, Google Fit, Fitbit, Garmin, and Samsung Health</w:t>
      </w:r>
      <w:r w:rsidR="00E1008F">
        <w:rPr>
          <w:rFonts w:ascii="Calibri" w:hAnsi="Calibri" w:cs="Calibri"/>
          <w:kern w:val="0"/>
        </w:rPr>
        <w:t xml:space="preserve"> to</w:t>
      </w:r>
      <w:r w:rsidRPr="00416336">
        <w:rPr>
          <w:rFonts w:ascii="Calibri" w:hAnsi="Calibri" w:cs="Calibri"/>
          <w:kern w:val="0"/>
        </w:rPr>
        <w:t xml:space="preserve"> continuously capture:</w:t>
      </w:r>
    </w:p>
    <w:p w14:paraId="2913BF69" w14:textId="6C25608D" w:rsidR="00416336" w:rsidRPr="00E1008F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E1008F">
        <w:rPr>
          <w:rFonts w:ascii="Calibri" w:hAnsi="Calibri" w:cs="Calibri"/>
          <w:kern w:val="0"/>
        </w:rPr>
        <w:lastRenderedPageBreak/>
        <w:t xml:space="preserve">→ </w:t>
      </w:r>
      <w:r w:rsidRPr="00E1008F">
        <w:rPr>
          <w:rFonts w:ascii="Calibri" w:hAnsi="Calibri" w:cs="Calibri"/>
          <w:b/>
          <w:bCs/>
          <w:kern w:val="0"/>
        </w:rPr>
        <w:t xml:space="preserve">Creates evidence linking </w:t>
      </w:r>
      <w:r w:rsidR="00E1008F" w:rsidRPr="00E1008F">
        <w:rPr>
          <w:rFonts w:ascii="Calibri" w:hAnsi="Calibri" w:cs="Calibri"/>
          <w:b/>
          <w:bCs/>
          <w:kern w:val="0"/>
        </w:rPr>
        <w:t>behaviour</w:t>
      </w:r>
      <w:r w:rsidRPr="00E1008F">
        <w:rPr>
          <w:rFonts w:ascii="Calibri" w:hAnsi="Calibri" w:cs="Calibri"/>
          <w:b/>
          <w:bCs/>
          <w:kern w:val="0"/>
        </w:rPr>
        <w:t xml:space="preserve"> to recovery and quality of life improvements.</w:t>
      </w:r>
    </w:p>
    <w:p w14:paraId="75A2E56D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05486EFA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4. AI Outcome Validation Engine</w:t>
      </w:r>
    </w:p>
    <w:p w14:paraId="46D62158" w14:textId="6E17BF4C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Proprietary AI compares patient-reported outcomes against clinical and </w:t>
      </w:r>
      <w:r w:rsidR="00E1008F" w:rsidRPr="00416336">
        <w:rPr>
          <w:rFonts w:ascii="Calibri" w:hAnsi="Calibri" w:cs="Calibri"/>
          <w:kern w:val="0"/>
        </w:rPr>
        <w:t>behavioural</w:t>
      </w:r>
      <w:r w:rsidRPr="00416336">
        <w:rPr>
          <w:rFonts w:ascii="Calibri" w:hAnsi="Calibri" w:cs="Calibri"/>
          <w:kern w:val="0"/>
        </w:rPr>
        <w:t xml:space="preserve"> data to detect bias or inconsistency.</w:t>
      </w:r>
    </w:p>
    <w:p w14:paraId="2659CF04" w14:textId="33DFBA49" w:rsidR="00416336" w:rsidRPr="00416336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Turns PROMs into clinically validated intelligence.</w:t>
      </w:r>
    </w:p>
    <w:p w14:paraId="5E679FEC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486F07E9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5. AI Insights &amp; Analytics</w:t>
      </w:r>
    </w:p>
    <w:p w14:paraId="668F540D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Predictive models and outcome-based analytics quantify what drives improvement:</w:t>
      </w:r>
    </w:p>
    <w:p w14:paraId="6975C563" w14:textId="2A6963DD" w:rsidR="00416336" w:rsidRPr="00416336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From data to actionable guidance.</w:t>
      </w:r>
    </w:p>
    <w:p w14:paraId="66226870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510D8C18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6. Patient Reward &amp; Engagement System</w:t>
      </w:r>
    </w:p>
    <w:p w14:paraId="0FC454C8" w14:textId="2956C92A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>Gamified incentives sustain participation</w:t>
      </w:r>
    </w:p>
    <w:p w14:paraId="4D7B2313" w14:textId="0E3D995F" w:rsidR="00416336" w:rsidRPr="00416336" w:rsidRDefault="00416336" w:rsidP="00E1008F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kern w:val="0"/>
        </w:rPr>
        <w:t xml:space="preserve">→ </w:t>
      </w:r>
      <w:r w:rsidRPr="00416336">
        <w:rPr>
          <w:rFonts w:ascii="Calibri" w:hAnsi="Calibri" w:cs="Calibri"/>
          <w:b/>
          <w:bCs/>
          <w:kern w:val="0"/>
        </w:rPr>
        <w:t>Higher engagement, richer data, lower dropout.</w:t>
      </w:r>
    </w:p>
    <w:p w14:paraId="07FD7D3A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22B9CE13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ICHOM Integration &amp; Expertise</w:t>
      </w:r>
    </w:p>
    <w:p w14:paraId="4D2364A0" w14:textId="283716C1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includes </w:t>
      </w:r>
      <w:r w:rsidRPr="00416336">
        <w:rPr>
          <w:rFonts w:ascii="Calibri" w:hAnsi="Calibri" w:cs="Calibri"/>
          <w:b/>
          <w:bCs/>
          <w:kern w:val="0"/>
        </w:rPr>
        <w:t>all ICHOM standard outcome sets</w:t>
      </w:r>
      <w:r w:rsidRPr="00416336">
        <w:rPr>
          <w:rFonts w:ascii="Calibri" w:hAnsi="Calibri" w:cs="Calibri"/>
          <w:kern w:val="0"/>
        </w:rPr>
        <w:t xml:space="preserve"> by default</w:t>
      </w:r>
      <w:r w:rsidR="00E1008F">
        <w:rPr>
          <w:rFonts w:ascii="Calibri" w:hAnsi="Calibri" w:cs="Calibri"/>
          <w:kern w:val="0"/>
        </w:rPr>
        <w:t xml:space="preserve"> as well as all established generic and condition specific instruments</w:t>
      </w:r>
      <w:r w:rsidRPr="00416336">
        <w:rPr>
          <w:rFonts w:ascii="Calibri" w:hAnsi="Calibri" w:cs="Calibri"/>
          <w:kern w:val="0"/>
        </w:rPr>
        <w:t>.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Pr="00416336">
        <w:rPr>
          <w:rFonts w:ascii="Calibri" w:hAnsi="Calibri" w:cs="Calibri"/>
          <w:kern w:val="0"/>
        </w:rPr>
        <w:t xml:space="preserve">Our team includes </w:t>
      </w:r>
      <w:r w:rsidRPr="00416336">
        <w:rPr>
          <w:rFonts w:ascii="Calibri" w:hAnsi="Calibri" w:cs="Calibri"/>
          <w:b/>
          <w:bCs/>
          <w:kern w:val="0"/>
        </w:rPr>
        <w:t>former ICHOM technical partners</w:t>
      </w:r>
      <w:r w:rsidRPr="00416336">
        <w:rPr>
          <w:rFonts w:ascii="Calibri" w:hAnsi="Calibri" w:cs="Calibri"/>
          <w:kern w:val="0"/>
        </w:rPr>
        <w:t>, ensuring data mapping, validation, and benchmarking meet the highest global standards for value-based care.</w:t>
      </w:r>
    </w:p>
    <w:p w14:paraId="61D83107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3DDDD0C1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Competitive Edge</w:t>
      </w:r>
    </w:p>
    <w:tbl>
      <w:tblPr>
        <w:tblW w:w="9436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7"/>
        <w:gridCol w:w="5319"/>
      </w:tblGrid>
      <w:tr w:rsidR="00416336" w:rsidRPr="00416336" w14:paraId="3E471C00" w14:textId="77777777" w:rsidTr="00E1008F">
        <w:trPr>
          <w:trHeight w:val="327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19E5595" w14:textId="3185CC10" w:rsidR="00416336" w:rsidRPr="00416336" w:rsidRDefault="00E100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kern w:val="0"/>
              </w:rPr>
            </w:pPr>
            <w:r>
              <w:rPr>
                <w:rFonts w:ascii="Calibri" w:hAnsi="Calibri" w:cs="Calibri"/>
                <w:b/>
                <w:bCs/>
                <w:kern w:val="0"/>
              </w:rPr>
              <w:t>Status Quo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45E3F6" w14:textId="1AD89FED" w:rsidR="00416336" w:rsidRPr="00416336" w:rsidRDefault="0041633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kern w:val="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kern w:val="0"/>
              </w:rPr>
              <w:t>Majour</w:t>
            </w:r>
            <w:proofErr w:type="spellEnd"/>
          </w:p>
        </w:tc>
      </w:tr>
      <w:tr w:rsidR="00416336" w:rsidRPr="00416336" w14:paraId="39235784" w14:textId="77777777" w:rsidTr="00E1008F">
        <w:tblPrEx>
          <w:tblBorders>
            <w:top w:val="none" w:sz="0" w:space="0" w:color="auto"/>
          </w:tblBorders>
        </w:tblPrEx>
        <w:trPr>
          <w:trHeight w:val="306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0A03DA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Passive PROM collection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042AE3F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Active AI-driven engagement</w:t>
            </w:r>
          </w:p>
        </w:tc>
      </w:tr>
      <w:tr w:rsidR="00416336" w:rsidRPr="00416336" w14:paraId="6BC9BFB6" w14:textId="77777777" w:rsidTr="00E1008F">
        <w:tblPrEx>
          <w:tblBorders>
            <w:top w:val="none" w:sz="0" w:space="0" w:color="auto"/>
          </w:tblBorders>
        </w:tblPrEx>
        <w:trPr>
          <w:trHeight w:val="327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BE13860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Limited localization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3C710D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Real-time AI translation (50+ languages)</w:t>
            </w:r>
          </w:p>
        </w:tc>
      </w:tr>
      <w:tr w:rsidR="00416336" w:rsidRPr="00416336" w14:paraId="42F1C554" w14:textId="77777777" w:rsidTr="00E1008F">
        <w:tblPrEx>
          <w:tblBorders>
            <w:top w:val="none" w:sz="0" w:space="0" w:color="auto"/>
          </w:tblBorders>
        </w:tblPrEx>
        <w:trPr>
          <w:trHeight w:val="306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5CC879A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Self-reported only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27AFABD" w14:textId="00A451D3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A</w:t>
            </w:r>
            <w:r w:rsidR="00E1008F">
              <w:rPr>
                <w:rFonts w:ascii="Calibri" w:hAnsi="Calibri" w:cs="Calibri"/>
                <w:kern w:val="0"/>
              </w:rPr>
              <w:t xml:space="preserve">I driven </w:t>
            </w:r>
            <w:r w:rsidRPr="00416336">
              <w:rPr>
                <w:rFonts w:ascii="Calibri" w:hAnsi="Calibri" w:cs="Calibri"/>
                <w:kern w:val="0"/>
              </w:rPr>
              <w:t xml:space="preserve">validation </w:t>
            </w:r>
            <w:r w:rsidR="00E1008F">
              <w:rPr>
                <w:rFonts w:ascii="Calibri" w:hAnsi="Calibri" w:cs="Calibri"/>
                <w:kern w:val="0"/>
              </w:rPr>
              <w:t>vs</w:t>
            </w:r>
            <w:r w:rsidRPr="00416336">
              <w:rPr>
                <w:rFonts w:ascii="Calibri" w:hAnsi="Calibri" w:cs="Calibri"/>
                <w:kern w:val="0"/>
              </w:rPr>
              <w:t xml:space="preserve"> clinical &amp; </w:t>
            </w:r>
            <w:r w:rsidR="00E1008F" w:rsidRPr="00416336">
              <w:rPr>
                <w:rFonts w:ascii="Calibri" w:hAnsi="Calibri" w:cs="Calibri"/>
                <w:kern w:val="0"/>
              </w:rPr>
              <w:t>behavioural</w:t>
            </w:r>
            <w:r w:rsidRPr="00416336">
              <w:rPr>
                <w:rFonts w:ascii="Calibri" w:hAnsi="Calibri" w:cs="Calibri"/>
                <w:kern w:val="0"/>
              </w:rPr>
              <w:t xml:space="preserve"> data</w:t>
            </w:r>
          </w:p>
        </w:tc>
      </w:tr>
      <w:tr w:rsidR="00416336" w:rsidRPr="00416336" w14:paraId="263AA1B0" w14:textId="77777777" w:rsidTr="00E1008F">
        <w:tblPrEx>
          <w:tblBorders>
            <w:top w:val="none" w:sz="0" w:space="0" w:color="auto"/>
          </w:tblBorders>
        </w:tblPrEx>
        <w:trPr>
          <w:trHeight w:val="327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02C08D9" w14:textId="494F46C9" w:rsidR="00416336" w:rsidRPr="00416336" w:rsidRDefault="00E1008F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Poor response rates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45C5BCD" w14:textId="015B5B40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 xml:space="preserve">Integrated patient rewards </w:t>
            </w:r>
          </w:p>
        </w:tc>
      </w:tr>
      <w:tr w:rsidR="00416336" w:rsidRPr="00416336" w14:paraId="28C6732E" w14:textId="77777777" w:rsidTr="00E1008F">
        <w:tblPrEx>
          <w:tblBorders>
            <w:top w:val="none" w:sz="0" w:space="0" w:color="auto"/>
          </w:tblBorders>
        </w:tblPrEx>
        <w:trPr>
          <w:trHeight w:val="327"/>
        </w:trPr>
        <w:tc>
          <w:tcPr>
            <w:tcW w:w="411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59AB17" w14:textId="77777777" w:rsidR="00416336" w:rsidRPr="00416336" w:rsidRDefault="00416336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 w:rsidRPr="00416336">
              <w:rPr>
                <w:rFonts w:ascii="Calibri" w:hAnsi="Calibri" w:cs="Calibri"/>
                <w:kern w:val="0"/>
              </w:rPr>
              <w:t>Basic dashboards</w:t>
            </w:r>
          </w:p>
        </w:tc>
        <w:tc>
          <w:tcPr>
            <w:tcW w:w="531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5055624" w14:textId="0803E7DF" w:rsidR="00416336" w:rsidRPr="00416336" w:rsidRDefault="00E1008F" w:rsidP="00E1008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 xml:space="preserve">AI </w:t>
            </w:r>
            <w:r w:rsidR="00416336" w:rsidRPr="00416336">
              <w:rPr>
                <w:rFonts w:ascii="Calibri" w:hAnsi="Calibri" w:cs="Calibri"/>
                <w:kern w:val="0"/>
              </w:rPr>
              <w:t xml:space="preserve">analytics &amp; </w:t>
            </w:r>
            <w:r>
              <w:rPr>
                <w:rFonts w:ascii="Calibri" w:hAnsi="Calibri" w:cs="Calibri"/>
                <w:kern w:val="0"/>
              </w:rPr>
              <w:t>value focused</w:t>
            </w:r>
            <w:r w:rsidR="00416336" w:rsidRPr="00416336">
              <w:rPr>
                <w:rFonts w:ascii="Calibri" w:hAnsi="Calibri" w:cs="Calibri"/>
                <w:kern w:val="0"/>
              </w:rPr>
              <w:t xml:space="preserve"> optimi</w:t>
            </w:r>
            <w:r>
              <w:rPr>
                <w:rFonts w:ascii="Calibri" w:hAnsi="Calibri" w:cs="Calibri"/>
                <w:kern w:val="0"/>
              </w:rPr>
              <w:t>s</w:t>
            </w:r>
            <w:r w:rsidR="00416336" w:rsidRPr="00416336">
              <w:rPr>
                <w:rFonts w:ascii="Calibri" w:hAnsi="Calibri" w:cs="Calibri"/>
                <w:kern w:val="0"/>
              </w:rPr>
              <w:t>ation</w:t>
            </w:r>
          </w:p>
        </w:tc>
      </w:tr>
    </w:tbl>
    <w:p w14:paraId="03D57996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2FA634BA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Revenue Model</w:t>
      </w:r>
    </w:p>
    <w:p w14:paraId="1641A29F" w14:textId="1433DD1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kern w:val="0"/>
        </w:rPr>
        <w:lastRenderedPageBreak/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combines </w:t>
      </w:r>
      <w:r w:rsidRPr="00416336">
        <w:rPr>
          <w:rFonts w:ascii="Calibri" w:hAnsi="Calibri" w:cs="Calibri"/>
          <w:b/>
          <w:bCs/>
          <w:kern w:val="0"/>
        </w:rPr>
        <w:t>SaaS licensing</w:t>
      </w:r>
      <w:r w:rsidRPr="00416336">
        <w:rPr>
          <w:rFonts w:ascii="Calibri" w:hAnsi="Calibri" w:cs="Calibri"/>
          <w:kern w:val="0"/>
        </w:rPr>
        <w:t xml:space="preserve">, </w:t>
      </w:r>
      <w:r w:rsidRPr="00416336">
        <w:rPr>
          <w:rFonts w:ascii="Calibri" w:hAnsi="Calibri" w:cs="Calibri"/>
          <w:b/>
          <w:bCs/>
          <w:kern w:val="0"/>
        </w:rPr>
        <w:t>per-survey fees</w:t>
      </w:r>
      <w:r w:rsidRPr="00416336">
        <w:rPr>
          <w:rFonts w:ascii="Calibri" w:hAnsi="Calibri" w:cs="Calibri"/>
          <w:kern w:val="0"/>
        </w:rPr>
        <w:t xml:space="preserve">, and </w:t>
      </w:r>
      <w:r w:rsidRPr="00416336">
        <w:rPr>
          <w:rFonts w:ascii="Calibri" w:hAnsi="Calibri" w:cs="Calibri"/>
          <w:b/>
          <w:bCs/>
          <w:kern w:val="0"/>
        </w:rPr>
        <w:t>add-ons</w:t>
      </w:r>
      <w:r w:rsidRPr="00416336">
        <w:rPr>
          <w:rFonts w:ascii="Calibri" w:hAnsi="Calibri" w:cs="Calibri"/>
          <w:kern w:val="0"/>
        </w:rPr>
        <w:t xml:space="preserve"> with scalable margins (70%+).</w:t>
      </w:r>
    </w:p>
    <w:p w14:paraId="6F085DD3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1. SaaS Licensing</w:t>
      </w:r>
    </w:p>
    <w:p w14:paraId="4429BA22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2. Per-Survey Transaction Fees</w:t>
      </w:r>
    </w:p>
    <w:p w14:paraId="0A38595F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3. AI Call Centre &amp; Translation Add-Ons</w:t>
      </w:r>
    </w:p>
    <w:p w14:paraId="28F5C1A6" w14:textId="77777777" w:rsidR="00416336" w:rsidRPr="00416336" w:rsidRDefault="00416336" w:rsidP="00416336">
      <w:pPr>
        <w:autoSpaceDE w:val="0"/>
        <w:autoSpaceDN w:val="0"/>
        <w:adjustRightInd w:val="0"/>
        <w:spacing w:after="280" w:line="240" w:lineRule="auto"/>
        <w:rPr>
          <w:rFonts w:ascii="Calibri" w:hAnsi="Calibri" w:cs="Calibri"/>
          <w:b/>
          <w:bCs/>
          <w:kern w:val="0"/>
          <w:sz w:val="28"/>
          <w:szCs w:val="28"/>
        </w:rPr>
      </w:pPr>
      <w:r w:rsidRPr="00416336">
        <w:rPr>
          <w:rFonts w:ascii="Calibri" w:hAnsi="Calibri" w:cs="Calibri"/>
          <w:b/>
          <w:bCs/>
          <w:kern w:val="0"/>
          <w:sz w:val="28"/>
          <w:szCs w:val="28"/>
        </w:rPr>
        <w:t>4. Advanced Analytics &amp; Consulting</w:t>
      </w:r>
    </w:p>
    <w:p w14:paraId="37319E13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058A0DF5" w14:textId="77777777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>Market Position</w:t>
      </w:r>
    </w:p>
    <w:p w14:paraId="47ACAFCC" w14:textId="49710FB7" w:rsidR="00416336" w:rsidRPr="00416336" w:rsidRDefault="00416336" w:rsidP="00416336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240" w:lineRule="auto"/>
        <w:ind w:hanging="720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b/>
          <w:bCs/>
          <w:kern w:val="0"/>
        </w:rPr>
        <w:t>Target Clients:</w:t>
      </w:r>
      <w:r w:rsidRPr="00416336">
        <w:rPr>
          <w:rFonts w:ascii="Calibri" w:hAnsi="Calibri" w:cs="Calibri"/>
          <w:kern w:val="0"/>
        </w:rPr>
        <w:t xml:space="preserve"> Healthcare payers,</w:t>
      </w:r>
      <w:r w:rsidR="00E1008F">
        <w:rPr>
          <w:rFonts w:ascii="Calibri" w:hAnsi="Calibri" w:cs="Calibri"/>
          <w:kern w:val="0"/>
        </w:rPr>
        <w:t xml:space="preserve"> providers </w:t>
      </w:r>
      <w:r w:rsidRPr="00416336">
        <w:rPr>
          <w:rFonts w:ascii="Calibri" w:hAnsi="Calibri" w:cs="Calibri"/>
          <w:kern w:val="0"/>
        </w:rPr>
        <w:t>and life-science companies.</w:t>
      </w:r>
    </w:p>
    <w:p w14:paraId="424DCEAE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3DFEC260" w14:textId="4B6859B9" w:rsidR="00416336" w:rsidRPr="00416336" w:rsidRDefault="00416336" w:rsidP="00416336">
      <w:pPr>
        <w:autoSpaceDE w:val="0"/>
        <w:autoSpaceDN w:val="0"/>
        <w:adjustRightInd w:val="0"/>
        <w:spacing w:after="298" w:line="240" w:lineRule="auto"/>
        <w:rPr>
          <w:rFonts w:ascii="Calibri" w:hAnsi="Calibri" w:cs="Calibri"/>
          <w:b/>
          <w:bCs/>
          <w:kern w:val="0"/>
          <w:sz w:val="36"/>
          <w:szCs w:val="36"/>
        </w:rPr>
      </w:pPr>
      <w:r w:rsidRPr="00416336">
        <w:rPr>
          <w:rFonts w:ascii="Calibri" w:hAnsi="Calibri" w:cs="Calibri"/>
          <w:b/>
          <w:bCs/>
          <w:kern w:val="0"/>
          <w:sz w:val="36"/>
          <w:szCs w:val="36"/>
        </w:rPr>
        <w:t xml:space="preserve">Why </w:t>
      </w:r>
      <w:proofErr w:type="spellStart"/>
      <w:r>
        <w:rPr>
          <w:rFonts w:ascii="Calibri" w:hAnsi="Calibri" w:cs="Calibri"/>
          <w:b/>
          <w:bCs/>
          <w:kern w:val="0"/>
          <w:sz w:val="36"/>
          <w:szCs w:val="36"/>
        </w:rPr>
        <w:t>Majour</w:t>
      </w:r>
      <w:proofErr w:type="spellEnd"/>
    </w:p>
    <w:p w14:paraId="7173BC8E" w14:textId="006BCB6D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First platform uniting PROMs, PREMs, and </w:t>
      </w:r>
      <w:r w:rsidR="00E1008F" w:rsidRPr="00416336">
        <w:rPr>
          <w:rFonts w:ascii="Calibri" w:hAnsi="Calibri" w:cs="Calibri"/>
          <w:kern w:val="0"/>
        </w:rPr>
        <w:t>behavioural</w:t>
      </w:r>
      <w:r w:rsidRPr="00416336">
        <w:rPr>
          <w:rFonts w:ascii="Calibri" w:hAnsi="Calibri" w:cs="Calibri"/>
          <w:kern w:val="0"/>
        </w:rPr>
        <w:t xml:space="preserve"> data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="00E1008F">
        <w:rPr>
          <w:rFonts w:ascii="MS Gothic" w:eastAsia="MS Gothic" w:hAnsi="MS Gothic" w:cs="MS Gothic"/>
          <w:kern w:val="0"/>
        </w:rPr>
        <w:br/>
      </w: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AI call engagement and outcome validation increase trust and completion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="00E1008F">
        <w:rPr>
          <w:rFonts w:ascii="MS Gothic" w:eastAsia="MS Gothic" w:hAnsi="MS Gothic" w:cs="MS Gothic"/>
          <w:kern w:val="0"/>
        </w:rPr>
        <w:br/>
      </w: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Seamless ICHOM </w:t>
      </w:r>
      <w:r w:rsidR="00E1008F">
        <w:rPr>
          <w:rFonts w:ascii="Calibri" w:hAnsi="Calibri" w:cs="Calibri"/>
          <w:kern w:val="0"/>
        </w:rPr>
        <w:t>standards adherence</w:t>
      </w:r>
      <w:r w:rsidRPr="00416336">
        <w:rPr>
          <w:rFonts w:ascii="Calibri" w:hAnsi="Calibri" w:cs="Calibri"/>
          <w:kern w:val="0"/>
        </w:rPr>
        <w:t xml:space="preserve"> </w:t>
      </w:r>
      <w:r w:rsidR="00E1008F">
        <w:rPr>
          <w:rFonts w:ascii="Calibri" w:hAnsi="Calibri" w:cs="Calibri"/>
          <w:kern w:val="0"/>
        </w:rPr>
        <w:br/>
      </w:r>
      <w:r w:rsidR="00E1008F" w:rsidRPr="00416336">
        <w:rPr>
          <w:rFonts w:ascii="Segoe UI Symbol" w:hAnsi="Segoe UI Symbol" w:cs="Segoe UI Symbol"/>
          <w:kern w:val="0"/>
        </w:rPr>
        <w:t>✓</w:t>
      </w:r>
      <w:r w:rsidR="00E1008F">
        <w:rPr>
          <w:rFonts w:ascii="Segoe UI Symbol" w:hAnsi="Segoe UI Symbol" w:cs="Segoe UI Symbol"/>
          <w:kern w:val="0"/>
        </w:rPr>
        <w:t xml:space="preserve"> </w:t>
      </w:r>
      <w:r w:rsidR="00E1008F">
        <w:rPr>
          <w:rFonts w:ascii="Calibri" w:hAnsi="Calibri" w:cs="Calibri"/>
          <w:kern w:val="0"/>
        </w:rPr>
        <w:t>M</w:t>
      </w:r>
      <w:r w:rsidRPr="00416336">
        <w:rPr>
          <w:rFonts w:ascii="Calibri" w:hAnsi="Calibri" w:cs="Calibri"/>
          <w:kern w:val="0"/>
        </w:rPr>
        <w:t>ultilingual scalability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="00E1008F">
        <w:rPr>
          <w:rFonts w:ascii="MS Gothic" w:eastAsia="MS Gothic" w:hAnsi="MS Gothic" w:cs="MS Gothic"/>
          <w:kern w:val="0"/>
        </w:rPr>
        <w:br/>
      </w: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Gamified engagement and marketplace rewards drive participation</w:t>
      </w:r>
      <w:r w:rsidRPr="00416336">
        <w:rPr>
          <w:rFonts w:ascii="MS Gothic" w:eastAsia="MS Gothic" w:hAnsi="MS Gothic" w:cs="MS Gothic" w:hint="eastAsia"/>
          <w:kern w:val="0"/>
        </w:rPr>
        <w:t> </w:t>
      </w:r>
      <w:r w:rsidR="00E1008F">
        <w:rPr>
          <w:rFonts w:ascii="MS Gothic" w:eastAsia="MS Gothic" w:hAnsi="MS Gothic" w:cs="MS Gothic"/>
          <w:kern w:val="0"/>
        </w:rPr>
        <w:br/>
      </w:r>
      <w:r w:rsidRPr="00416336">
        <w:rPr>
          <w:rFonts w:ascii="Segoe UI Symbol" w:hAnsi="Segoe UI Symbol" w:cs="Segoe UI Symbol"/>
          <w:kern w:val="0"/>
        </w:rPr>
        <w:t>✓</w:t>
      </w:r>
      <w:r w:rsidRPr="00416336">
        <w:rPr>
          <w:rFonts w:ascii="Calibri" w:hAnsi="Calibri" w:cs="Calibri"/>
          <w:kern w:val="0"/>
        </w:rPr>
        <w:t xml:space="preserve"> Proven path to high-margin recurring revenue</w:t>
      </w:r>
    </w:p>
    <w:p w14:paraId="00159212" w14:textId="77777777" w:rsidR="00416336" w:rsidRPr="00416336" w:rsidRDefault="00416336" w:rsidP="004163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6D6D6D"/>
          <w:kern w:val="0"/>
        </w:rPr>
      </w:pPr>
    </w:p>
    <w:p w14:paraId="56916107" w14:textId="2793BFC1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proofErr w:type="spellStart"/>
      <w:r>
        <w:rPr>
          <w:rFonts w:ascii="Calibri" w:hAnsi="Calibri" w:cs="Calibri"/>
          <w:b/>
          <w:bCs/>
          <w:kern w:val="0"/>
        </w:rPr>
        <w:t>Majour</w:t>
      </w:r>
      <w:proofErr w:type="spellEnd"/>
      <w:r w:rsidRPr="00416336">
        <w:rPr>
          <w:rFonts w:ascii="Calibri" w:hAnsi="Calibri" w:cs="Calibri"/>
          <w:kern w:val="0"/>
        </w:rPr>
        <w:t xml:space="preserve"> is positioned to become the </w:t>
      </w:r>
      <w:r w:rsidRPr="00416336">
        <w:rPr>
          <w:rFonts w:ascii="Calibri" w:hAnsi="Calibri" w:cs="Calibri"/>
          <w:i/>
          <w:iCs/>
          <w:kern w:val="0"/>
        </w:rPr>
        <w:t>intelligence layer</w:t>
      </w:r>
      <w:r w:rsidRPr="00416336">
        <w:rPr>
          <w:rFonts w:ascii="Calibri" w:hAnsi="Calibri" w:cs="Calibri"/>
          <w:kern w:val="0"/>
        </w:rPr>
        <w:t xml:space="preserve"> for value-based healthcare worldwide — turning every patient interaction into measurable, validated insight.</w:t>
      </w:r>
    </w:p>
    <w:p w14:paraId="224434FE" w14:textId="77777777" w:rsidR="00416336" w:rsidRPr="00416336" w:rsidRDefault="00416336" w:rsidP="00416336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</w:rPr>
      </w:pPr>
      <w:r w:rsidRPr="00416336">
        <w:rPr>
          <w:rFonts w:ascii="Calibri" w:hAnsi="Calibri" w:cs="Calibri"/>
          <w:b/>
          <w:bCs/>
          <w:kern w:val="0"/>
        </w:rPr>
        <w:t>We’re not just measuring outcomes — we’re redefining how healthcare learns, validates, and improves.</w:t>
      </w:r>
    </w:p>
    <w:p w14:paraId="78CE007F" w14:textId="77777777" w:rsidR="00416336" w:rsidRPr="00416336" w:rsidRDefault="00416336">
      <w:pPr>
        <w:rPr>
          <w:rFonts w:ascii="Calibri" w:hAnsi="Calibri" w:cs="Calibri"/>
        </w:rPr>
      </w:pPr>
    </w:p>
    <w:sectPr w:rsidR="00416336" w:rsidRPr="00416336" w:rsidSect="004163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19577759">
    <w:abstractNumId w:val="0"/>
  </w:num>
  <w:num w:numId="2" w16cid:durableId="1335693957">
    <w:abstractNumId w:val="1"/>
  </w:num>
  <w:num w:numId="3" w16cid:durableId="1003050689">
    <w:abstractNumId w:val="2"/>
  </w:num>
  <w:num w:numId="4" w16cid:durableId="1761368781">
    <w:abstractNumId w:val="3"/>
  </w:num>
  <w:num w:numId="5" w16cid:durableId="663583401">
    <w:abstractNumId w:val="4"/>
  </w:num>
  <w:num w:numId="6" w16cid:durableId="1946961643">
    <w:abstractNumId w:val="5"/>
  </w:num>
  <w:num w:numId="7" w16cid:durableId="1748571262">
    <w:abstractNumId w:val="6"/>
  </w:num>
  <w:num w:numId="8" w16cid:durableId="1218710775">
    <w:abstractNumId w:val="7"/>
  </w:num>
  <w:num w:numId="9" w16cid:durableId="363945093">
    <w:abstractNumId w:val="8"/>
  </w:num>
  <w:num w:numId="10" w16cid:durableId="499738760">
    <w:abstractNumId w:val="9"/>
  </w:num>
  <w:num w:numId="11" w16cid:durableId="161896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36"/>
    <w:rsid w:val="00416336"/>
    <w:rsid w:val="0041799C"/>
    <w:rsid w:val="00B86304"/>
    <w:rsid w:val="00E1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74F4D"/>
  <w15:chartTrackingRefBased/>
  <w15:docId w15:val="{0E70BEBB-F2A4-CE47-B488-D5AD15CC8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Abdulla</dc:creator>
  <cp:keywords/>
  <dc:description/>
  <cp:lastModifiedBy>Ahmed Abdulla</cp:lastModifiedBy>
  <cp:revision>2</cp:revision>
  <dcterms:created xsi:type="dcterms:W3CDTF">2025-10-24T15:02:00Z</dcterms:created>
  <dcterms:modified xsi:type="dcterms:W3CDTF">2025-10-24T15:02:00Z</dcterms:modified>
</cp:coreProperties>
</file>