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D1FAE" w14:textId="02877F95" w:rsidR="0DACE1A3" w:rsidRDefault="0DACE1A3" w:rsidP="0DACE1A3">
      <w:pPr>
        <w:pStyle w:val="Title"/>
        <w:spacing w:after="0"/>
        <w:jc w:val="center"/>
        <w:rPr>
          <w:rFonts w:ascii="Calibri" w:hAnsi="Calibri" w:cs="Calibri"/>
          <w:b/>
          <w:bCs/>
        </w:rPr>
      </w:pPr>
    </w:p>
    <w:p w14:paraId="5B04EEBD" w14:textId="6A9BE856" w:rsidR="0DACE1A3" w:rsidRDefault="0DACE1A3" w:rsidP="0DACE1A3">
      <w:pPr>
        <w:pStyle w:val="Title"/>
        <w:spacing w:after="0"/>
        <w:jc w:val="center"/>
        <w:rPr>
          <w:rFonts w:ascii="Calibri" w:hAnsi="Calibri" w:cs="Calibri"/>
          <w:b/>
          <w:bCs/>
        </w:rPr>
      </w:pPr>
    </w:p>
    <w:p w14:paraId="4E235875" w14:textId="3A3830A2" w:rsidR="00631044" w:rsidRPr="00E43E9B" w:rsidRDefault="0050122F" w:rsidP="0DACE1A3">
      <w:pPr>
        <w:pStyle w:val="Title"/>
        <w:spacing w:after="0"/>
        <w:jc w:val="center"/>
        <w:rPr>
          <w:rFonts w:ascii="Calibri" w:hAnsi="Calibri" w:cs="Calibri"/>
          <w:b/>
          <w:bCs/>
        </w:rPr>
      </w:pPr>
      <w:r w:rsidRPr="0DACE1A3">
        <w:rPr>
          <w:rFonts w:ascii="Calibri" w:hAnsi="Calibri" w:cs="Calibri"/>
          <w:b/>
          <w:bCs/>
        </w:rPr>
        <w:t>VBC Guideline for Providers</w:t>
      </w:r>
    </w:p>
    <w:p w14:paraId="7C1A7CAC" w14:textId="77777777" w:rsidR="00F200AB" w:rsidRPr="00E43E9B" w:rsidRDefault="00F200AB" w:rsidP="009A7569">
      <w:pPr>
        <w:spacing w:after="0" w:line="240" w:lineRule="auto"/>
        <w:rPr>
          <w:rFonts w:ascii="Calibri" w:hAnsi="Calibri" w:cs="Calibri"/>
        </w:rPr>
      </w:pPr>
    </w:p>
    <w:p w14:paraId="21437872" w14:textId="3BB62F2C" w:rsidR="00F200AB" w:rsidRPr="00E43E9B" w:rsidRDefault="00F200AB" w:rsidP="0DACE1A3">
      <w:pPr>
        <w:spacing w:after="0" w:line="240" w:lineRule="auto"/>
        <w:rPr>
          <w:rStyle w:val="Strong"/>
          <w:rFonts w:ascii="Calibri" w:hAnsi="Calibri" w:cs="Calibri"/>
        </w:rPr>
      </w:pPr>
    </w:p>
    <w:p w14:paraId="4DDAB1AE" w14:textId="181CEE83" w:rsidR="00F200AB" w:rsidRPr="00E43E9B" w:rsidRDefault="00F200AB" w:rsidP="009A7569">
      <w:pPr>
        <w:spacing w:after="0" w:line="240" w:lineRule="auto"/>
      </w:pPr>
      <w:r>
        <w:br w:type="page"/>
      </w:r>
    </w:p>
    <w:p w14:paraId="38CB0036" w14:textId="0F1CD325" w:rsidR="00F200AB" w:rsidRPr="00E43E9B" w:rsidRDefault="00F200AB" w:rsidP="009A7569">
      <w:pPr>
        <w:spacing w:after="0" w:line="240" w:lineRule="auto"/>
        <w:rPr>
          <w:rStyle w:val="Strong"/>
          <w:rFonts w:ascii="Calibri" w:hAnsi="Calibri" w:cs="Calibri"/>
          <w:sz w:val="32"/>
          <w:szCs w:val="32"/>
        </w:rPr>
      </w:pPr>
      <w:r w:rsidRPr="24A8D1DB">
        <w:rPr>
          <w:rStyle w:val="Strong"/>
          <w:rFonts w:ascii="Calibri" w:hAnsi="Calibri" w:cs="Calibri"/>
          <w:sz w:val="32"/>
          <w:szCs w:val="32"/>
        </w:rPr>
        <w:lastRenderedPageBreak/>
        <w:t>Preface</w:t>
      </w:r>
    </w:p>
    <w:p w14:paraId="1581DB8B" w14:textId="07EEACE8" w:rsidR="76160ADC" w:rsidRDefault="76160ADC" w:rsidP="0DACE1A3">
      <w:pPr>
        <w:spacing w:after="0" w:line="240" w:lineRule="auto"/>
        <w:rPr>
          <w:rStyle w:val="Strong"/>
          <w:rFonts w:ascii="Calibri" w:hAnsi="Calibri" w:cs="Calibri"/>
        </w:rPr>
      </w:pPr>
    </w:p>
    <w:p w14:paraId="57888C8C" w14:textId="69F1E75A" w:rsidR="76160ADC" w:rsidRDefault="76160ADC" w:rsidP="23FDDE05">
      <w:pPr>
        <w:spacing w:after="0" w:line="240" w:lineRule="auto"/>
      </w:pPr>
      <w:r>
        <w:br w:type="page"/>
      </w:r>
    </w:p>
    <w:p w14:paraId="42E349B1" w14:textId="61DB6DF3" w:rsidR="76160ADC" w:rsidRDefault="76160ADC" w:rsidP="0DACE1A3">
      <w:pPr>
        <w:spacing w:after="0" w:line="240" w:lineRule="auto"/>
        <w:rPr>
          <w:rStyle w:val="Strong"/>
          <w:rFonts w:ascii="Calibri" w:hAnsi="Calibri" w:cs="Calibri"/>
        </w:rPr>
      </w:pPr>
      <w:r w:rsidRPr="0DACE1A3">
        <w:rPr>
          <w:rStyle w:val="Strong"/>
          <w:rFonts w:ascii="Calibri" w:hAnsi="Calibri" w:cs="Calibri"/>
        </w:rPr>
        <w:lastRenderedPageBreak/>
        <w:t>Abbreviations</w:t>
      </w:r>
    </w:p>
    <w:tbl>
      <w:tblPr>
        <w:tblStyle w:val="TableGrid"/>
        <w:tblW w:w="0" w:type="auto"/>
        <w:tblLook w:val="06A0" w:firstRow="1" w:lastRow="0" w:firstColumn="1" w:lastColumn="0" w:noHBand="1" w:noVBand="1"/>
      </w:tblPr>
      <w:tblGrid>
        <w:gridCol w:w="3195"/>
        <w:gridCol w:w="6718"/>
      </w:tblGrid>
      <w:tr w:rsidR="0DACE1A3" w14:paraId="78DF5660" w14:textId="77777777" w:rsidTr="0DACE1A3">
        <w:trPr>
          <w:trHeight w:val="300"/>
        </w:trPr>
        <w:tc>
          <w:tcPr>
            <w:tcW w:w="3195" w:type="dxa"/>
            <w:shd w:val="clear" w:color="auto" w:fill="83CAEB" w:themeFill="accent1" w:themeFillTint="66"/>
          </w:tcPr>
          <w:p w14:paraId="0C153C33" w14:textId="1EF0D68B" w:rsidR="1E2F71B2" w:rsidRDefault="1E2F71B2" w:rsidP="0DACE1A3">
            <w:pPr>
              <w:rPr>
                <w:rFonts w:ascii="Calibri" w:hAnsi="Calibri" w:cs="Calibri"/>
              </w:rPr>
            </w:pPr>
            <w:r w:rsidRPr="0DACE1A3">
              <w:rPr>
                <w:rFonts w:ascii="Calibri" w:hAnsi="Calibri" w:cs="Calibri"/>
              </w:rPr>
              <w:t>Abbreviation</w:t>
            </w:r>
          </w:p>
        </w:tc>
        <w:tc>
          <w:tcPr>
            <w:tcW w:w="6720" w:type="dxa"/>
            <w:shd w:val="clear" w:color="auto" w:fill="83CAEB" w:themeFill="accent1" w:themeFillTint="66"/>
          </w:tcPr>
          <w:p w14:paraId="49280B5B" w14:textId="08FA508E" w:rsidR="0DACE1A3" w:rsidRDefault="0DACE1A3" w:rsidP="0DACE1A3">
            <w:pPr>
              <w:rPr>
                <w:rFonts w:ascii="Calibri" w:hAnsi="Calibri" w:cs="Calibri"/>
              </w:rPr>
            </w:pPr>
          </w:p>
        </w:tc>
      </w:tr>
      <w:tr w:rsidR="0DACE1A3" w14:paraId="09F2ED83" w14:textId="77777777" w:rsidTr="0DACE1A3">
        <w:trPr>
          <w:trHeight w:val="300"/>
        </w:trPr>
        <w:tc>
          <w:tcPr>
            <w:tcW w:w="3195" w:type="dxa"/>
          </w:tcPr>
          <w:p w14:paraId="31A8FEC6" w14:textId="3FA8413E" w:rsidR="1E2F71B2" w:rsidRDefault="1E2F71B2" w:rsidP="0DACE1A3">
            <w:pPr>
              <w:rPr>
                <w:rFonts w:ascii="Calibri" w:hAnsi="Calibri" w:cs="Calibri"/>
              </w:rPr>
            </w:pPr>
            <w:r w:rsidRPr="0DACE1A3">
              <w:rPr>
                <w:rFonts w:ascii="Calibri" w:hAnsi="Calibri" w:cs="Calibri"/>
              </w:rPr>
              <w:t>CHI</w:t>
            </w:r>
          </w:p>
        </w:tc>
        <w:tc>
          <w:tcPr>
            <w:tcW w:w="6720" w:type="dxa"/>
          </w:tcPr>
          <w:p w14:paraId="0523FDDE" w14:textId="54AD6B36" w:rsidR="22006F7E" w:rsidRDefault="22006F7E" w:rsidP="0DACE1A3">
            <w:pPr>
              <w:rPr>
                <w:rFonts w:ascii="Calibri" w:hAnsi="Calibri" w:cs="Calibri"/>
              </w:rPr>
            </w:pPr>
            <w:r w:rsidRPr="0DACE1A3">
              <w:rPr>
                <w:rFonts w:ascii="Calibri" w:hAnsi="Calibri" w:cs="Calibri"/>
              </w:rPr>
              <w:t>Council of Health Insurance</w:t>
            </w:r>
          </w:p>
        </w:tc>
      </w:tr>
      <w:tr w:rsidR="0DACE1A3" w14:paraId="58CEEF54" w14:textId="77777777" w:rsidTr="0DACE1A3">
        <w:trPr>
          <w:trHeight w:val="300"/>
        </w:trPr>
        <w:tc>
          <w:tcPr>
            <w:tcW w:w="3195" w:type="dxa"/>
          </w:tcPr>
          <w:p w14:paraId="59D020DB" w14:textId="16114CD1" w:rsidR="1E2F71B2" w:rsidRDefault="1E2F71B2" w:rsidP="0DACE1A3">
            <w:pPr>
              <w:rPr>
                <w:rFonts w:ascii="Calibri" w:hAnsi="Calibri" w:cs="Calibri"/>
              </w:rPr>
            </w:pPr>
            <w:r w:rsidRPr="0DACE1A3">
              <w:rPr>
                <w:rFonts w:ascii="Calibri" w:hAnsi="Calibri" w:cs="Calibri"/>
              </w:rPr>
              <w:t>VBHC</w:t>
            </w:r>
          </w:p>
        </w:tc>
        <w:tc>
          <w:tcPr>
            <w:tcW w:w="6720" w:type="dxa"/>
          </w:tcPr>
          <w:p w14:paraId="5816B20A" w14:textId="6AE33F44" w:rsidR="20D6E680" w:rsidRDefault="20D6E680" w:rsidP="0DACE1A3">
            <w:pPr>
              <w:rPr>
                <w:rFonts w:ascii="Calibri" w:hAnsi="Calibri" w:cs="Calibri"/>
              </w:rPr>
            </w:pPr>
            <w:r w:rsidRPr="0DACE1A3">
              <w:rPr>
                <w:rFonts w:ascii="Calibri" w:hAnsi="Calibri" w:cs="Calibri"/>
              </w:rPr>
              <w:t>Value Based Healthcare</w:t>
            </w:r>
          </w:p>
        </w:tc>
      </w:tr>
      <w:tr w:rsidR="0DACE1A3" w14:paraId="0DE670BA" w14:textId="77777777" w:rsidTr="0DACE1A3">
        <w:trPr>
          <w:trHeight w:val="300"/>
        </w:trPr>
        <w:tc>
          <w:tcPr>
            <w:tcW w:w="3195" w:type="dxa"/>
          </w:tcPr>
          <w:p w14:paraId="06237510" w14:textId="33D87FF9" w:rsidR="1E2F71B2" w:rsidRDefault="1E2F71B2" w:rsidP="0DACE1A3">
            <w:pPr>
              <w:rPr>
                <w:rFonts w:ascii="Calibri" w:hAnsi="Calibri" w:cs="Calibri"/>
              </w:rPr>
            </w:pPr>
            <w:r w:rsidRPr="0DACE1A3">
              <w:rPr>
                <w:rFonts w:ascii="Calibri" w:hAnsi="Calibri" w:cs="Calibri"/>
              </w:rPr>
              <w:t>VBC</w:t>
            </w:r>
          </w:p>
        </w:tc>
        <w:tc>
          <w:tcPr>
            <w:tcW w:w="6720" w:type="dxa"/>
          </w:tcPr>
          <w:p w14:paraId="530857A1" w14:textId="16610ED2" w:rsidR="3E695584" w:rsidRDefault="3E695584" w:rsidP="0DACE1A3">
            <w:pPr>
              <w:rPr>
                <w:rFonts w:ascii="Calibri" w:hAnsi="Calibri" w:cs="Calibri"/>
              </w:rPr>
            </w:pPr>
            <w:r w:rsidRPr="0DACE1A3">
              <w:rPr>
                <w:rFonts w:ascii="Calibri" w:hAnsi="Calibri" w:cs="Calibri"/>
              </w:rPr>
              <w:t xml:space="preserve">Value Based </w:t>
            </w:r>
            <w:r w:rsidR="15CADC91" w:rsidRPr="0DACE1A3">
              <w:rPr>
                <w:rFonts w:ascii="Calibri" w:hAnsi="Calibri" w:cs="Calibri"/>
              </w:rPr>
              <w:t>Contract</w:t>
            </w:r>
          </w:p>
        </w:tc>
      </w:tr>
      <w:tr w:rsidR="0DACE1A3" w14:paraId="28AD52FB" w14:textId="77777777" w:rsidTr="0DACE1A3">
        <w:trPr>
          <w:trHeight w:val="300"/>
        </w:trPr>
        <w:tc>
          <w:tcPr>
            <w:tcW w:w="3195" w:type="dxa"/>
          </w:tcPr>
          <w:p w14:paraId="4AB6AD32" w14:textId="6A1B6184" w:rsidR="1E2F71B2" w:rsidRDefault="1E2F71B2" w:rsidP="0DACE1A3">
            <w:pPr>
              <w:rPr>
                <w:rFonts w:ascii="Calibri" w:hAnsi="Calibri" w:cs="Calibri"/>
              </w:rPr>
            </w:pPr>
            <w:r w:rsidRPr="0DACE1A3">
              <w:rPr>
                <w:rFonts w:ascii="Calibri" w:hAnsi="Calibri" w:cs="Calibri"/>
              </w:rPr>
              <w:t>VBP</w:t>
            </w:r>
          </w:p>
        </w:tc>
        <w:tc>
          <w:tcPr>
            <w:tcW w:w="6720" w:type="dxa"/>
          </w:tcPr>
          <w:p w14:paraId="1AB1C506" w14:textId="6054EB80" w:rsidR="488383DD" w:rsidRDefault="488383DD" w:rsidP="0DACE1A3">
            <w:pPr>
              <w:rPr>
                <w:rFonts w:ascii="Calibri" w:hAnsi="Calibri" w:cs="Calibri"/>
              </w:rPr>
            </w:pPr>
            <w:r w:rsidRPr="0DACE1A3">
              <w:rPr>
                <w:rFonts w:ascii="Calibri" w:hAnsi="Calibri" w:cs="Calibri"/>
              </w:rPr>
              <w:t>Value Based Payment</w:t>
            </w:r>
          </w:p>
        </w:tc>
      </w:tr>
      <w:tr w:rsidR="0DACE1A3" w14:paraId="6ECDFC97" w14:textId="77777777" w:rsidTr="0DACE1A3">
        <w:trPr>
          <w:trHeight w:val="300"/>
        </w:trPr>
        <w:tc>
          <w:tcPr>
            <w:tcW w:w="3195" w:type="dxa"/>
          </w:tcPr>
          <w:p w14:paraId="2A5F1CF5" w14:textId="61AAF056" w:rsidR="1E2F71B2" w:rsidRDefault="1E2F71B2" w:rsidP="0DACE1A3">
            <w:pPr>
              <w:rPr>
                <w:rFonts w:ascii="Calibri" w:hAnsi="Calibri" w:cs="Calibri"/>
              </w:rPr>
            </w:pPr>
            <w:r w:rsidRPr="0DACE1A3">
              <w:rPr>
                <w:rFonts w:ascii="Calibri" w:hAnsi="Calibri" w:cs="Calibri"/>
              </w:rPr>
              <w:t>DRGs</w:t>
            </w:r>
          </w:p>
        </w:tc>
        <w:tc>
          <w:tcPr>
            <w:tcW w:w="6720" w:type="dxa"/>
          </w:tcPr>
          <w:p w14:paraId="1DB98E5B" w14:textId="7E74BA2E" w:rsidR="53EDFA77" w:rsidRDefault="53EDFA77" w:rsidP="0DACE1A3">
            <w:pPr>
              <w:rPr>
                <w:rFonts w:ascii="Calibri" w:hAnsi="Calibri" w:cs="Calibri"/>
              </w:rPr>
            </w:pPr>
            <w:r w:rsidRPr="0DACE1A3">
              <w:rPr>
                <w:rFonts w:ascii="Calibri" w:hAnsi="Calibri" w:cs="Calibri"/>
              </w:rPr>
              <w:t>Diagnosis Related Groups</w:t>
            </w:r>
          </w:p>
        </w:tc>
      </w:tr>
      <w:tr w:rsidR="0DACE1A3" w14:paraId="2CB548D6" w14:textId="77777777" w:rsidTr="0DACE1A3">
        <w:trPr>
          <w:trHeight w:val="300"/>
        </w:trPr>
        <w:tc>
          <w:tcPr>
            <w:tcW w:w="3195" w:type="dxa"/>
          </w:tcPr>
          <w:p w14:paraId="31F49D0C" w14:textId="27567DB9" w:rsidR="53EDFA77" w:rsidRDefault="53EDFA77" w:rsidP="0DACE1A3">
            <w:pPr>
              <w:rPr>
                <w:rFonts w:ascii="Calibri" w:hAnsi="Calibri" w:cs="Calibri"/>
              </w:rPr>
            </w:pPr>
            <w:r w:rsidRPr="0DACE1A3">
              <w:rPr>
                <w:rFonts w:ascii="Calibri" w:hAnsi="Calibri" w:cs="Calibri"/>
              </w:rPr>
              <w:t>PROMs</w:t>
            </w:r>
          </w:p>
        </w:tc>
        <w:tc>
          <w:tcPr>
            <w:tcW w:w="6720" w:type="dxa"/>
          </w:tcPr>
          <w:p w14:paraId="0DE3D244" w14:textId="2928D2BC" w:rsidR="53EDFA77" w:rsidRDefault="53EDFA77" w:rsidP="0DACE1A3">
            <w:pPr>
              <w:rPr>
                <w:rFonts w:ascii="Calibri" w:hAnsi="Calibri" w:cs="Calibri"/>
              </w:rPr>
            </w:pPr>
            <w:r w:rsidRPr="0DACE1A3">
              <w:rPr>
                <w:rFonts w:ascii="Calibri" w:hAnsi="Calibri" w:cs="Calibri"/>
              </w:rPr>
              <w:t>Patient Reported Outcome Measures</w:t>
            </w:r>
          </w:p>
        </w:tc>
      </w:tr>
      <w:tr w:rsidR="0DACE1A3" w14:paraId="39D148F7" w14:textId="77777777" w:rsidTr="0DACE1A3">
        <w:trPr>
          <w:trHeight w:val="300"/>
        </w:trPr>
        <w:tc>
          <w:tcPr>
            <w:tcW w:w="3195" w:type="dxa"/>
          </w:tcPr>
          <w:p w14:paraId="7A50798C" w14:textId="452799F6" w:rsidR="53EDFA77" w:rsidRDefault="53EDFA77" w:rsidP="0DACE1A3">
            <w:pPr>
              <w:rPr>
                <w:rFonts w:ascii="Calibri" w:hAnsi="Calibri" w:cs="Calibri"/>
              </w:rPr>
            </w:pPr>
            <w:r w:rsidRPr="0DACE1A3">
              <w:rPr>
                <w:rFonts w:ascii="Calibri" w:hAnsi="Calibri" w:cs="Calibri"/>
              </w:rPr>
              <w:t>CROMs</w:t>
            </w:r>
          </w:p>
        </w:tc>
        <w:tc>
          <w:tcPr>
            <w:tcW w:w="6720" w:type="dxa"/>
          </w:tcPr>
          <w:p w14:paraId="00C7A2EF" w14:textId="65D9B19F" w:rsidR="53EDFA77" w:rsidRDefault="53EDFA77" w:rsidP="0DACE1A3">
            <w:pPr>
              <w:rPr>
                <w:rFonts w:ascii="Calibri" w:hAnsi="Calibri" w:cs="Calibri"/>
              </w:rPr>
            </w:pPr>
            <w:r w:rsidRPr="0DACE1A3">
              <w:rPr>
                <w:rFonts w:ascii="Calibri" w:hAnsi="Calibri" w:cs="Calibri"/>
              </w:rPr>
              <w:t>Clinical Reported Outcome Measures</w:t>
            </w:r>
          </w:p>
        </w:tc>
      </w:tr>
      <w:tr w:rsidR="0DACE1A3" w14:paraId="086EC3DF" w14:textId="77777777" w:rsidTr="0DACE1A3">
        <w:trPr>
          <w:trHeight w:val="300"/>
        </w:trPr>
        <w:tc>
          <w:tcPr>
            <w:tcW w:w="3195" w:type="dxa"/>
          </w:tcPr>
          <w:p w14:paraId="33D6B83B" w14:textId="17CA4779" w:rsidR="53EDFA77" w:rsidRDefault="53EDFA77" w:rsidP="0DACE1A3">
            <w:pPr>
              <w:rPr>
                <w:rFonts w:ascii="Calibri" w:hAnsi="Calibri" w:cs="Calibri"/>
              </w:rPr>
            </w:pPr>
            <w:r w:rsidRPr="0DACE1A3">
              <w:rPr>
                <w:rFonts w:ascii="Calibri" w:hAnsi="Calibri" w:cs="Calibri"/>
              </w:rPr>
              <w:t>PREMs</w:t>
            </w:r>
          </w:p>
        </w:tc>
        <w:tc>
          <w:tcPr>
            <w:tcW w:w="6720" w:type="dxa"/>
          </w:tcPr>
          <w:p w14:paraId="1F727616" w14:textId="433CD249" w:rsidR="53EDFA77" w:rsidRDefault="53EDFA77" w:rsidP="0DACE1A3">
            <w:pPr>
              <w:rPr>
                <w:rFonts w:ascii="Calibri" w:hAnsi="Calibri" w:cs="Calibri"/>
              </w:rPr>
            </w:pPr>
            <w:r w:rsidRPr="0DACE1A3">
              <w:rPr>
                <w:rFonts w:ascii="Calibri" w:hAnsi="Calibri" w:cs="Calibri"/>
              </w:rPr>
              <w:t>Patient Reported Experience Measures</w:t>
            </w:r>
          </w:p>
        </w:tc>
      </w:tr>
      <w:tr w:rsidR="0DACE1A3" w14:paraId="3BE952D2" w14:textId="77777777" w:rsidTr="0DACE1A3">
        <w:trPr>
          <w:trHeight w:val="300"/>
        </w:trPr>
        <w:tc>
          <w:tcPr>
            <w:tcW w:w="3195" w:type="dxa"/>
          </w:tcPr>
          <w:p w14:paraId="127C59A2" w14:textId="39F83B46" w:rsidR="0DACE1A3" w:rsidRDefault="76631D2D" w:rsidP="0DACE1A3">
            <w:pPr>
              <w:rPr>
                <w:rFonts w:ascii="Calibri" w:hAnsi="Calibri" w:cs="Calibri"/>
              </w:rPr>
            </w:pPr>
            <w:r w:rsidRPr="2C5E02EF">
              <w:rPr>
                <w:rFonts w:ascii="Calibri" w:hAnsi="Calibri" w:cs="Calibri"/>
              </w:rPr>
              <w:t>MSR</w:t>
            </w:r>
          </w:p>
        </w:tc>
        <w:tc>
          <w:tcPr>
            <w:tcW w:w="6720" w:type="dxa"/>
          </w:tcPr>
          <w:p w14:paraId="2E49DA99" w14:textId="6982DF64" w:rsidR="0DACE1A3" w:rsidRDefault="76631D2D" w:rsidP="0DACE1A3">
            <w:pPr>
              <w:rPr>
                <w:rFonts w:ascii="Calibri" w:hAnsi="Calibri" w:cs="Calibri"/>
              </w:rPr>
            </w:pPr>
            <w:r w:rsidRPr="2C5E02EF">
              <w:rPr>
                <w:rFonts w:ascii="Calibri" w:hAnsi="Calibri" w:cs="Calibri"/>
              </w:rPr>
              <w:t>Minimum Savings Rate</w:t>
            </w:r>
          </w:p>
        </w:tc>
      </w:tr>
      <w:tr w:rsidR="0DACE1A3" w14:paraId="54CBA299" w14:textId="77777777" w:rsidTr="0DACE1A3">
        <w:trPr>
          <w:trHeight w:val="300"/>
        </w:trPr>
        <w:tc>
          <w:tcPr>
            <w:tcW w:w="3195" w:type="dxa"/>
          </w:tcPr>
          <w:p w14:paraId="51BC0DCE" w14:textId="2D7C0F50" w:rsidR="0DACE1A3" w:rsidRDefault="0DACE1A3" w:rsidP="0DACE1A3">
            <w:pPr>
              <w:rPr>
                <w:rFonts w:ascii="Calibri" w:hAnsi="Calibri" w:cs="Calibri"/>
              </w:rPr>
            </w:pPr>
          </w:p>
        </w:tc>
        <w:tc>
          <w:tcPr>
            <w:tcW w:w="6720" w:type="dxa"/>
          </w:tcPr>
          <w:p w14:paraId="63541245" w14:textId="52FD2DBA" w:rsidR="0DACE1A3" w:rsidRDefault="0DACE1A3" w:rsidP="0DACE1A3">
            <w:pPr>
              <w:rPr>
                <w:rFonts w:ascii="Calibri" w:hAnsi="Calibri" w:cs="Calibri"/>
              </w:rPr>
            </w:pPr>
          </w:p>
        </w:tc>
      </w:tr>
    </w:tbl>
    <w:p w14:paraId="62920230" w14:textId="590DFC76" w:rsidR="0DACE1A3" w:rsidRDefault="0DACE1A3" w:rsidP="0DACE1A3">
      <w:pPr>
        <w:spacing w:after="0" w:line="240" w:lineRule="auto"/>
        <w:rPr>
          <w:rFonts w:ascii="Calibri" w:hAnsi="Calibri" w:cs="Calibri"/>
        </w:rPr>
      </w:pPr>
    </w:p>
    <w:p w14:paraId="08E0C97F" w14:textId="7478C832" w:rsidR="0DACE1A3" w:rsidRDefault="0DACE1A3" w:rsidP="0DACE1A3">
      <w:pPr>
        <w:spacing w:after="0" w:line="240" w:lineRule="auto"/>
        <w:rPr>
          <w:rStyle w:val="Strong"/>
          <w:rFonts w:ascii="Calibri" w:hAnsi="Calibri" w:cs="Calibri"/>
        </w:rPr>
      </w:pPr>
    </w:p>
    <w:p w14:paraId="1403BAD2" w14:textId="32A38A10" w:rsidR="0DACE1A3" w:rsidRDefault="0DACE1A3">
      <w:r>
        <w:br w:type="page"/>
      </w:r>
    </w:p>
    <w:p w14:paraId="59436541" w14:textId="64228EA3" w:rsidR="00F200AB" w:rsidRDefault="17A1152A" w:rsidP="0DACE1A3">
      <w:pPr>
        <w:pStyle w:val="Heading1"/>
      </w:pPr>
      <w:bookmarkStart w:id="0" w:name="_Toc219208373"/>
      <w:r>
        <w:lastRenderedPageBreak/>
        <w:t>Executive Summary</w:t>
      </w:r>
      <w:bookmarkEnd w:id="0"/>
    </w:p>
    <w:p w14:paraId="40E83620" w14:textId="67DABEDA" w:rsidR="0DACE1A3" w:rsidRDefault="2127B665" w:rsidP="24A8D1DB">
      <w:pPr>
        <w:spacing w:after="0" w:line="240" w:lineRule="auto"/>
        <w:rPr>
          <w:rFonts w:ascii="Calibri" w:hAnsi="Calibri" w:cs="Calibri"/>
        </w:rPr>
      </w:pPr>
      <w:r w:rsidRPr="24A8D1DB">
        <w:rPr>
          <w:rFonts w:ascii="Calibri" w:hAnsi="Calibri" w:cs="Calibri"/>
        </w:rPr>
        <w:t>The Council of Health Insurance (CHI) has developed this Value-Based Contracting (VBC) guideline to support the transition of Saudi Arabia's private healthcare sector from volume-based reimbursement models to arrangements that reward better health outcomes, higher quality of care, and efficient resource utilization. Value-based contracting is defined as a payment arrangement where provider reimbursement is explicitly linked to achievement of predefined quality metrics, patient outcomes, and cost efficiency targets. These guidelines provide a structured and consistent framework to support healthcare providers and payers in designing, negotiating, and implementing value-based contracts, with initial focus on seven CHI-supported bundled payment areas including Total Knee Replacement, Laparoscopic Cholecystectomy, Diabetes Management, and others. The guidelines reflect CHI's role as the private healthcare regulator, facilitating the adoption of value-based approaches without interfering in commercial negotiations between payers and providers.</w:t>
      </w:r>
      <w:r w:rsidR="43CAAA26" w:rsidRPr="24A8D1DB">
        <w:rPr>
          <w:rFonts w:ascii="Calibri" w:hAnsi="Calibri" w:cs="Calibri"/>
        </w:rPr>
        <w:t xml:space="preserve"> CHI also helps in establishing frameworks, monitoring market behavior, and coordinating implementation support.</w:t>
      </w:r>
    </w:p>
    <w:p w14:paraId="1DC2FE98" w14:textId="7ABA2A49" w:rsidR="0DACE1A3" w:rsidRDefault="0DACE1A3" w:rsidP="24A8D1DB">
      <w:pPr>
        <w:spacing w:after="0" w:line="240" w:lineRule="auto"/>
        <w:rPr>
          <w:rFonts w:ascii="Calibri" w:hAnsi="Calibri" w:cs="Calibri"/>
        </w:rPr>
      </w:pPr>
    </w:p>
    <w:p w14:paraId="02814431" w14:textId="59B6033D" w:rsidR="0DACE1A3" w:rsidRDefault="2127B665" w:rsidP="24A8D1DB">
      <w:pPr>
        <w:spacing w:after="0" w:line="240" w:lineRule="auto"/>
        <w:rPr>
          <w:rFonts w:ascii="Calibri" w:hAnsi="Calibri" w:cs="Calibri"/>
        </w:rPr>
      </w:pPr>
      <w:r w:rsidRPr="24A8D1DB">
        <w:rPr>
          <w:rFonts w:ascii="Calibri" w:hAnsi="Calibri" w:cs="Calibri"/>
        </w:rPr>
        <w:t>The document establishes a phased implementation roadmap that enables gradual risk transfer aligned with provider capability and market readiness. Phase 1 (Report &amp; Measure) focuses on establishing data collection systems and measuring baseline performance with fixed bundled payments and no financial risk. Phase 2 (Share Risk) introduces shared savings arrangements where providers earn incentive payments for achieving cost reductions above a Minimum Savings Rate (MSR) while maintaining quality, with no downside risk. Phase 3 (Own Outcomes) involves two-sided risk arrangements where providers assume both upside gains and downside losses linked to performance. Clear gating criteria define the requirements for progression between phases, including data completeness thresholds, outcome performance standards, governance capabilities, and financial management maturity. This graduated approach protects provider sustainability and market stability while building the capabilities necessary for successful value-based contracting.</w:t>
      </w:r>
    </w:p>
    <w:p w14:paraId="50C5EF15" w14:textId="70644035" w:rsidR="0DACE1A3" w:rsidRDefault="0DACE1A3" w:rsidP="24A8D1DB">
      <w:pPr>
        <w:spacing w:after="0" w:line="240" w:lineRule="auto"/>
        <w:rPr>
          <w:rFonts w:ascii="Calibri" w:hAnsi="Calibri" w:cs="Calibri"/>
        </w:rPr>
      </w:pPr>
    </w:p>
    <w:p w14:paraId="1C7F5516" w14:textId="1C28B864" w:rsidR="0DACE1A3" w:rsidRDefault="2127B665" w:rsidP="24A8D1DB">
      <w:pPr>
        <w:spacing w:after="0" w:line="240" w:lineRule="auto"/>
        <w:rPr>
          <w:rFonts w:ascii="Calibri" w:hAnsi="Calibri" w:cs="Calibri"/>
        </w:rPr>
      </w:pPr>
      <w:r w:rsidRPr="24A8D1DB">
        <w:rPr>
          <w:rFonts w:ascii="Calibri" w:hAnsi="Calibri" w:cs="Calibri"/>
        </w:rPr>
        <w:t xml:space="preserve">The guidelines outline essential contract design requirements that all value-based arrangements must include: clearly defined episode scope with start and end points, patient attribution methodology with minimum volume thresholds, specified outcome measures including clinical outcomes and Patient-Reported Outcome Measures (PROMs), risk adjustment methodologies to ensure fair comparison across different patient populations, and transparent benchmarking approaches with financial parameters such as MSR and risk corridors. The document clearly delineates stakeholder responsibilities, requiring providers to deliver evidence-based care, collect and report outcome measures, ensure data accuracy, and manage resources efficiently within bundled prices, while payers must design fair contracts, provide timely performance data, apply methodologies consistently, and maintain network adequacy. </w:t>
      </w:r>
    </w:p>
    <w:p w14:paraId="12B98D0E" w14:textId="037D3EB6" w:rsidR="0DACE1A3" w:rsidRDefault="0DACE1A3" w:rsidP="24A8D1DB">
      <w:pPr>
        <w:spacing w:after="0" w:line="240" w:lineRule="auto"/>
        <w:rPr>
          <w:rFonts w:ascii="Calibri" w:hAnsi="Calibri" w:cs="Calibri"/>
        </w:rPr>
      </w:pPr>
    </w:p>
    <w:p w14:paraId="348324CD" w14:textId="0845317B" w:rsidR="0DACE1A3" w:rsidRDefault="2127B665" w:rsidP="24A8D1DB">
      <w:pPr>
        <w:spacing w:after="0" w:line="240" w:lineRule="auto"/>
        <w:rPr>
          <w:rFonts w:ascii="Calibri" w:hAnsi="Calibri" w:cs="Calibri"/>
        </w:rPr>
      </w:pPr>
      <w:r w:rsidRPr="24A8D1DB">
        <w:rPr>
          <w:rFonts w:ascii="Calibri" w:hAnsi="Calibri" w:cs="Calibri"/>
        </w:rPr>
        <w:t xml:space="preserve">For providers, these guidelines offer the opportunity to be rewarded for clinical excellence and care coordination rather than service volume, with potential for enhanced revenue through shared savings, competitive differentiation through demonstrated quality outcomes, and more predictable multi-year contracts. For patients, value-based contracting promotes better health outcomes through coordinated evidence-based care, improved experience through active engagement via PROMs </w:t>
      </w:r>
      <w:r w:rsidRPr="24A8D1DB">
        <w:rPr>
          <w:rFonts w:ascii="Calibri" w:hAnsi="Calibri" w:cs="Calibri"/>
        </w:rPr>
        <w:lastRenderedPageBreak/>
        <w:t xml:space="preserve">collection, and reduced complications and readmissions. For the healthcare system overall, VBC is expected to reduce unwarranted clinical variation, support more sustainable cost growth, generate robust outcome data to inform continuous improvement, and align financial incentives with clinical objectives. At a macroeconomic level, improved outcomes and reduced avoidable utilization contribute to labor productivity and support the long-term affordability and sustainability of private health insurance in alignment with Vision 2030 objectives, while maintaining patient protection, access equity, </w:t>
      </w:r>
      <w:proofErr w:type="gramStart"/>
      <w:r w:rsidRPr="24A8D1DB">
        <w:rPr>
          <w:rFonts w:ascii="Calibri" w:hAnsi="Calibri" w:cs="Calibri"/>
        </w:rPr>
        <w:t>and provider</w:t>
      </w:r>
      <w:proofErr w:type="gramEnd"/>
      <w:r w:rsidRPr="24A8D1DB">
        <w:rPr>
          <w:rFonts w:ascii="Calibri" w:hAnsi="Calibri" w:cs="Calibri"/>
        </w:rPr>
        <w:t xml:space="preserve"> sustainability throughout the transformation journey.</w:t>
      </w:r>
    </w:p>
    <w:p w14:paraId="73E30D0A" w14:textId="2E895BA2" w:rsidR="0DACE1A3" w:rsidRDefault="0DACE1A3" w:rsidP="24A8D1DB">
      <w:pPr>
        <w:spacing w:after="0" w:line="240" w:lineRule="auto"/>
        <w:rPr>
          <w:rFonts w:ascii="Calibri" w:hAnsi="Calibri" w:cs="Calibri"/>
        </w:rPr>
      </w:pPr>
    </w:p>
    <w:p w14:paraId="186692D9" w14:textId="452808C0" w:rsidR="0DACE1A3" w:rsidRDefault="0DACE1A3" w:rsidP="0DACE1A3">
      <w:pPr>
        <w:spacing w:after="0" w:line="240" w:lineRule="auto"/>
        <w:rPr>
          <w:rFonts w:ascii="Calibri" w:hAnsi="Calibri" w:cs="Calibri"/>
        </w:rPr>
      </w:pPr>
    </w:p>
    <w:p w14:paraId="41F74BFA" w14:textId="5398B627" w:rsidR="0DACE1A3" w:rsidRDefault="0DACE1A3">
      <w:r>
        <w:br w:type="page"/>
      </w:r>
    </w:p>
    <w:p w14:paraId="2EF14111" w14:textId="13E88CED" w:rsidR="0DACE1A3" w:rsidRDefault="0DACE1A3" w:rsidP="0DACE1A3">
      <w:pPr>
        <w:spacing w:after="0" w:line="240" w:lineRule="auto"/>
        <w:rPr>
          <w:rFonts w:ascii="Calibri" w:hAnsi="Calibri" w:cs="Calibri"/>
        </w:rPr>
      </w:pPr>
    </w:p>
    <w:sdt>
      <w:sdtPr>
        <w:id w:val="1144124496"/>
        <w:docPartObj>
          <w:docPartGallery w:val="Table of Contents"/>
          <w:docPartUnique/>
        </w:docPartObj>
      </w:sdtPr>
      <w:sdtContent>
        <w:p w14:paraId="00199FEE" w14:textId="74357121" w:rsidR="000307A4" w:rsidRDefault="0DACE1A3">
          <w:pPr>
            <w:pStyle w:val="TOC1"/>
            <w:tabs>
              <w:tab w:val="right" w:leader="dot" w:pos="9913"/>
            </w:tabs>
            <w:rPr>
              <w:rFonts w:eastAsiaTheme="minorEastAsia"/>
              <w:noProof/>
            </w:rPr>
          </w:pPr>
          <w:r>
            <w:fldChar w:fldCharType="begin"/>
          </w:r>
          <w:r>
            <w:instrText>TOC \o "1-2" \z \u \h</w:instrText>
          </w:r>
          <w:r>
            <w:fldChar w:fldCharType="separate"/>
          </w:r>
          <w:hyperlink w:anchor="_Toc219208373" w:history="1">
            <w:r w:rsidR="000307A4" w:rsidRPr="000B2BE2">
              <w:rPr>
                <w:rStyle w:val="Hyperlink"/>
                <w:noProof/>
              </w:rPr>
              <w:t>Executive Summary</w:t>
            </w:r>
            <w:r w:rsidR="000307A4">
              <w:rPr>
                <w:noProof/>
                <w:webHidden/>
              </w:rPr>
              <w:tab/>
            </w:r>
            <w:r w:rsidR="000307A4">
              <w:rPr>
                <w:noProof/>
                <w:webHidden/>
              </w:rPr>
              <w:fldChar w:fldCharType="begin"/>
            </w:r>
            <w:r w:rsidR="000307A4">
              <w:rPr>
                <w:noProof/>
                <w:webHidden/>
              </w:rPr>
              <w:instrText xml:space="preserve"> PAGEREF _Toc219208373 \h </w:instrText>
            </w:r>
            <w:r w:rsidR="000307A4">
              <w:rPr>
                <w:noProof/>
                <w:webHidden/>
              </w:rPr>
            </w:r>
            <w:r w:rsidR="000307A4">
              <w:rPr>
                <w:noProof/>
                <w:webHidden/>
              </w:rPr>
              <w:fldChar w:fldCharType="separate"/>
            </w:r>
            <w:r w:rsidR="000307A4">
              <w:rPr>
                <w:noProof/>
                <w:webHidden/>
              </w:rPr>
              <w:t>4</w:t>
            </w:r>
            <w:r w:rsidR="000307A4">
              <w:rPr>
                <w:noProof/>
                <w:webHidden/>
              </w:rPr>
              <w:fldChar w:fldCharType="end"/>
            </w:r>
          </w:hyperlink>
        </w:p>
        <w:p w14:paraId="72192FFF" w14:textId="1CF040A7" w:rsidR="000307A4" w:rsidRDefault="000307A4">
          <w:pPr>
            <w:pStyle w:val="TOC1"/>
            <w:tabs>
              <w:tab w:val="right" w:leader="dot" w:pos="9913"/>
            </w:tabs>
            <w:rPr>
              <w:rFonts w:eastAsiaTheme="minorEastAsia"/>
              <w:noProof/>
            </w:rPr>
          </w:pPr>
          <w:hyperlink w:anchor="_Toc219208374" w:history="1">
            <w:r w:rsidRPr="000B2BE2">
              <w:rPr>
                <w:rStyle w:val="Hyperlink"/>
                <w:rFonts w:ascii="Calibri" w:hAnsi="Calibri" w:cs="Calibri"/>
                <w:noProof/>
              </w:rPr>
              <w:t>1. Purpose and Scope</w:t>
            </w:r>
            <w:r>
              <w:rPr>
                <w:noProof/>
                <w:webHidden/>
              </w:rPr>
              <w:tab/>
            </w:r>
            <w:r>
              <w:rPr>
                <w:noProof/>
                <w:webHidden/>
              </w:rPr>
              <w:fldChar w:fldCharType="begin"/>
            </w:r>
            <w:r>
              <w:rPr>
                <w:noProof/>
                <w:webHidden/>
              </w:rPr>
              <w:instrText xml:space="preserve"> PAGEREF _Toc219208374 \h </w:instrText>
            </w:r>
            <w:r>
              <w:rPr>
                <w:noProof/>
                <w:webHidden/>
              </w:rPr>
            </w:r>
            <w:r>
              <w:rPr>
                <w:noProof/>
                <w:webHidden/>
              </w:rPr>
              <w:fldChar w:fldCharType="separate"/>
            </w:r>
            <w:r>
              <w:rPr>
                <w:noProof/>
                <w:webHidden/>
              </w:rPr>
              <w:t>6</w:t>
            </w:r>
            <w:r>
              <w:rPr>
                <w:noProof/>
                <w:webHidden/>
              </w:rPr>
              <w:fldChar w:fldCharType="end"/>
            </w:r>
          </w:hyperlink>
        </w:p>
        <w:p w14:paraId="4B532EDE" w14:textId="6AEBBC1A" w:rsidR="000307A4" w:rsidRDefault="000307A4">
          <w:pPr>
            <w:pStyle w:val="TOC2"/>
            <w:tabs>
              <w:tab w:val="right" w:leader="dot" w:pos="9913"/>
            </w:tabs>
            <w:rPr>
              <w:rFonts w:eastAsiaTheme="minorEastAsia"/>
              <w:noProof/>
            </w:rPr>
          </w:pPr>
          <w:hyperlink w:anchor="_Toc219208375" w:history="1">
            <w:r w:rsidRPr="000B2BE2">
              <w:rPr>
                <w:rStyle w:val="Hyperlink"/>
                <w:noProof/>
              </w:rPr>
              <w:t>1.1. Purpose and Core principles</w:t>
            </w:r>
            <w:r>
              <w:rPr>
                <w:noProof/>
                <w:webHidden/>
              </w:rPr>
              <w:tab/>
            </w:r>
            <w:r>
              <w:rPr>
                <w:noProof/>
                <w:webHidden/>
              </w:rPr>
              <w:fldChar w:fldCharType="begin"/>
            </w:r>
            <w:r>
              <w:rPr>
                <w:noProof/>
                <w:webHidden/>
              </w:rPr>
              <w:instrText xml:space="preserve"> PAGEREF _Toc219208375 \h </w:instrText>
            </w:r>
            <w:r>
              <w:rPr>
                <w:noProof/>
                <w:webHidden/>
              </w:rPr>
            </w:r>
            <w:r>
              <w:rPr>
                <w:noProof/>
                <w:webHidden/>
              </w:rPr>
              <w:fldChar w:fldCharType="separate"/>
            </w:r>
            <w:r>
              <w:rPr>
                <w:noProof/>
                <w:webHidden/>
              </w:rPr>
              <w:t>6</w:t>
            </w:r>
            <w:r>
              <w:rPr>
                <w:noProof/>
                <w:webHidden/>
              </w:rPr>
              <w:fldChar w:fldCharType="end"/>
            </w:r>
          </w:hyperlink>
        </w:p>
        <w:p w14:paraId="5139CB0C" w14:textId="2E8C1421" w:rsidR="000307A4" w:rsidRDefault="000307A4">
          <w:pPr>
            <w:pStyle w:val="TOC2"/>
            <w:tabs>
              <w:tab w:val="right" w:leader="dot" w:pos="9913"/>
            </w:tabs>
            <w:rPr>
              <w:rFonts w:eastAsiaTheme="minorEastAsia"/>
              <w:noProof/>
            </w:rPr>
          </w:pPr>
          <w:hyperlink w:anchor="_Toc219208376" w:history="1">
            <w:r w:rsidRPr="000B2BE2">
              <w:rPr>
                <w:rStyle w:val="Hyperlink"/>
                <w:rFonts w:ascii="Calibri" w:hAnsi="Calibri" w:cs="Calibri"/>
                <w:noProof/>
              </w:rPr>
              <w:t>1.2 Policy Context and Market Readiness</w:t>
            </w:r>
            <w:r>
              <w:rPr>
                <w:noProof/>
                <w:webHidden/>
              </w:rPr>
              <w:tab/>
            </w:r>
            <w:r>
              <w:rPr>
                <w:noProof/>
                <w:webHidden/>
              </w:rPr>
              <w:fldChar w:fldCharType="begin"/>
            </w:r>
            <w:r>
              <w:rPr>
                <w:noProof/>
                <w:webHidden/>
              </w:rPr>
              <w:instrText xml:space="preserve"> PAGEREF _Toc219208376 \h </w:instrText>
            </w:r>
            <w:r>
              <w:rPr>
                <w:noProof/>
                <w:webHidden/>
              </w:rPr>
            </w:r>
            <w:r>
              <w:rPr>
                <w:noProof/>
                <w:webHidden/>
              </w:rPr>
              <w:fldChar w:fldCharType="separate"/>
            </w:r>
            <w:r>
              <w:rPr>
                <w:noProof/>
                <w:webHidden/>
              </w:rPr>
              <w:t>7</w:t>
            </w:r>
            <w:r>
              <w:rPr>
                <w:noProof/>
                <w:webHidden/>
              </w:rPr>
              <w:fldChar w:fldCharType="end"/>
            </w:r>
          </w:hyperlink>
        </w:p>
        <w:p w14:paraId="312F6161" w14:textId="7854005F" w:rsidR="000307A4" w:rsidRDefault="000307A4">
          <w:pPr>
            <w:pStyle w:val="TOC2"/>
            <w:tabs>
              <w:tab w:val="left" w:pos="960"/>
              <w:tab w:val="right" w:leader="dot" w:pos="9913"/>
            </w:tabs>
            <w:rPr>
              <w:rFonts w:eastAsiaTheme="minorEastAsia"/>
              <w:noProof/>
            </w:rPr>
          </w:pPr>
          <w:hyperlink w:anchor="_Toc219208377" w:history="1">
            <w:r w:rsidRPr="000B2BE2">
              <w:rPr>
                <w:rStyle w:val="Hyperlink"/>
                <w:rFonts w:ascii="Calibri" w:hAnsi="Calibri" w:cs="Calibri"/>
                <w:noProof/>
              </w:rPr>
              <w:t>1.3</w:t>
            </w:r>
            <w:r>
              <w:rPr>
                <w:rFonts w:eastAsiaTheme="minorEastAsia"/>
                <w:noProof/>
              </w:rPr>
              <w:tab/>
            </w:r>
            <w:r w:rsidRPr="000B2BE2">
              <w:rPr>
                <w:rStyle w:val="Hyperlink"/>
                <w:rFonts w:ascii="Calibri" w:hAnsi="Calibri" w:cs="Calibri"/>
                <w:noProof/>
              </w:rPr>
              <w:t>Scope of the Guidelines</w:t>
            </w:r>
            <w:r>
              <w:rPr>
                <w:noProof/>
                <w:webHidden/>
              </w:rPr>
              <w:tab/>
            </w:r>
            <w:r>
              <w:rPr>
                <w:noProof/>
                <w:webHidden/>
              </w:rPr>
              <w:fldChar w:fldCharType="begin"/>
            </w:r>
            <w:r>
              <w:rPr>
                <w:noProof/>
                <w:webHidden/>
              </w:rPr>
              <w:instrText xml:space="preserve"> PAGEREF _Toc219208377 \h </w:instrText>
            </w:r>
            <w:r>
              <w:rPr>
                <w:noProof/>
                <w:webHidden/>
              </w:rPr>
            </w:r>
            <w:r>
              <w:rPr>
                <w:noProof/>
                <w:webHidden/>
              </w:rPr>
              <w:fldChar w:fldCharType="separate"/>
            </w:r>
            <w:r>
              <w:rPr>
                <w:noProof/>
                <w:webHidden/>
              </w:rPr>
              <w:t>7</w:t>
            </w:r>
            <w:r>
              <w:rPr>
                <w:noProof/>
                <w:webHidden/>
              </w:rPr>
              <w:fldChar w:fldCharType="end"/>
            </w:r>
          </w:hyperlink>
        </w:p>
        <w:p w14:paraId="01B78DCD" w14:textId="7E5EB969" w:rsidR="000307A4" w:rsidRDefault="000307A4">
          <w:pPr>
            <w:pStyle w:val="TOC2"/>
            <w:tabs>
              <w:tab w:val="right" w:leader="dot" w:pos="9913"/>
            </w:tabs>
            <w:rPr>
              <w:rFonts w:eastAsiaTheme="minorEastAsia"/>
              <w:noProof/>
            </w:rPr>
          </w:pPr>
          <w:hyperlink w:anchor="_Toc219208378" w:history="1">
            <w:r w:rsidRPr="000B2BE2">
              <w:rPr>
                <w:rStyle w:val="Hyperlink"/>
                <w:noProof/>
              </w:rPr>
              <w:t>1.4 Important Considerations</w:t>
            </w:r>
            <w:r>
              <w:rPr>
                <w:noProof/>
                <w:webHidden/>
              </w:rPr>
              <w:tab/>
            </w:r>
            <w:r>
              <w:rPr>
                <w:noProof/>
                <w:webHidden/>
              </w:rPr>
              <w:fldChar w:fldCharType="begin"/>
            </w:r>
            <w:r>
              <w:rPr>
                <w:noProof/>
                <w:webHidden/>
              </w:rPr>
              <w:instrText xml:space="preserve"> PAGEREF _Toc219208378 \h </w:instrText>
            </w:r>
            <w:r>
              <w:rPr>
                <w:noProof/>
                <w:webHidden/>
              </w:rPr>
            </w:r>
            <w:r>
              <w:rPr>
                <w:noProof/>
                <w:webHidden/>
              </w:rPr>
              <w:fldChar w:fldCharType="separate"/>
            </w:r>
            <w:r>
              <w:rPr>
                <w:noProof/>
                <w:webHidden/>
              </w:rPr>
              <w:t>8</w:t>
            </w:r>
            <w:r>
              <w:rPr>
                <w:noProof/>
                <w:webHidden/>
              </w:rPr>
              <w:fldChar w:fldCharType="end"/>
            </w:r>
          </w:hyperlink>
        </w:p>
        <w:p w14:paraId="79C7907D" w14:textId="6794876C" w:rsidR="000307A4" w:rsidRDefault="000307A4">
          <w:pPr>
            <w:pStyle w:val="TOC1"/>
            <w:tabs>
              <w:tab w:val="right" w:leader="dot" w:pos="9913"/>
            </w:tabs>
            <w:rPr>
              <w:rFonts w:eastAsiaTheme="minorEastAsia"/>
              <w:noProof/>
            </w:rPr>
          </w:pPr>
          <w:hyperlink w:anchor="_Toc219208379" w:history="1">
            <w:r w:rsidRPr="000B2BE2">
              <w:rPr>
                <w:rStyle w:val="Hyperlink"/>
                <w:rFonts w:ascii="Calibri" w:hAnsi="Calibri" w:cs="Calibri"/>
                <w:noProof/>
              </w:rPr>
              <w:t>2. Expectations from the Parties for Successful Implementation of the Framework</w:t>
            </w:r>
            <w:r>
              <w:rPr>
                <w:noProof/>
                <w:webHidden/>
              </w:rPr>
              <w:tab/>
            </w:r>
            <w:r>
              <w:rPr>
                <w:noProof/>
                <w:webHidden/>
              </w:rPr>
              <w:fldChar w:fldCharType="begin"/>
            </w:r>
            <w:r>
              <w:rPr>
                <w:noProof/>
                <w:webHidden/>
              </w:rPr>
              <w:instrText xml:space="preserve"> PAGEREF _Toc219208379 \h </w:instrText>
            </w:r>
            <w:r>
              <w:rPr>
                <w:noProof/>
                <w:webHidden/>
              </w:rPr>
            </w:r>
            <w:r>
              <w:rPr>
                <w:noProof/>
                <w:webHidden/>
              </w:rPr>
              <w:fldChar w:fldCharType="separate"/>
            </w:r>
            <w:r>
              <w:rPr>
                <w:noProof/>
                <w:webHidden/>
              </w:rPr>
              <w:t>9</w:t>
            </w:r>
            <w:r>
              <w:rPr>
                <w:noProof/>
                <w:webHidden/>
              </w:rPr>
              <w:fldChar w:fldCharType="end"/>
            </w:r>
          </w:hyperlink>
        </w:p>
        <w:p w14:paraId="77FF1341" w14:textId="7C4E5FA0" w:rsidR="000307A4" w:rsidRDefault="000307A4">
          <w:pPr>
            <w:pStyle w:val="TOC2"/>
            <w:tabs>
              <w:tab w:val="right" w:leader="dot" w:pos="9913"/>
            </w:tabs>
            <w:rPr>
              <w:rFonts w:eastAsiaTheme="minorEastAsia"/>
              <w:noProof/>
            </w:rPr>
          </w:pPr>
          <w:hyperlink w:anchor="_Toc219208380" w:history="1">
            <w:r w:rsidRPr="000B2BE2">
              <w:rPr>
                <w:rStyle w:val="Hyperlink"/>
                <w:noProof/>
              </w:rPr>
              <w:t>2.1 Responsibilities of Healthcare Providers</w:t>
            </w:r>
            <w:r>
              <w:rPr>
                <w:noProof/>
                <w:webHidden/>
              </w:rPr>
              <w:tab/>
            </w:r>
            <w:r>
              <w:rPr>
                <w:noProof/>
                <w:webHidden/>
              </w:rPr>
              <w:fldChar w:fldCharType="begin"/>
            </w:r>
            <w:r>
              <w:rPr>
                <w:noProof/>
                <w:webHidden/>
              </w:rPr>
              <w:instrText xml:space="preserve"> PAGEREF _Toc219208380 \h </w:instrText>
            </w:r>
            <w:r>
              <w:rPr>
                <w:noProof/>
                <w:webHidden/>
              </w:rPr>
            </w:r>
            <w:r>
              <w:rPr>
                <w:noProof/>
                <w:webHidden/>
              </w:rPr>
              <w:fldChar w:fldCharType="separate"/>
            </w:r>
            <w:r>
              <w:rPr>
                <w:noProof/>
                <w:webHidden/>
              </w:rPr>
              <w:t>9</w:t>
            </w:r>
            <w:r>
              <w:rPr>
                <w:noProof/>
                <w:webHidden/>
              </w:rPr>
              <w:fldChar w:fldCharType="end"/>
            </w:r>
          </w:hyperlink>
        </w:p>
        <w:p w14:paraId="0F92A186" w14:textId="4B473193" w:rsidR="000307A4" w:rsidRDefault="000307A4">
          <w:pPr>
            <w:pStyle w:val="TOC2"/>
            <w:tabs>
              <w:tab w:val="right" w:leader="dot" w:pos="9913"/>
            </w:tabs>
            <w:rPr>
              <w:rFonts w:eastAsiaTheme="minorEastAsia"/>
              <w:noProof/>
            </w:rPr>
          </w:pPr>
          <w:hyperlink w:anchor="_Toc219208381" w:history="1">
            <w:r w:rsidRPr="000B2BE2">
              <w:rPr>
                <w:rStyle w:val="Hyperlink"/>
                <w:rFonts w:ascii="Calibri" w:hAnsi="Calibri" w:cs="Calibri"/>
                <w:noProof/>
              </w:rPr>
              <w:t xml:space="preserve">2.2 </w:t>
            </w:r>
            <w:r w:rsidRPr="000B2BE2">
              <w:rPr>
                <w:rStyle w:val="Hyperlink"/>
                <w:noProof/>
              </w:rPr>
              <w:t>Key succuss factors and expectations from Payers</w:t>
            </w:r>
            <w:r>
              <w:rPr>
                <w:noProof/>
                <w:webHidden/>
              </w:rPr>
              <w:tab/>
            </w:r>
            <w:r>
              <w:rPr>
                <w:noProof/>
                <w:webHidden/>
              </w:rPr>
              <w:fldChar w:fldCharType="begin"/>
            </w:r>
            <w:r>
              <w:rPr>
                <w:noProof/>
                <w:webHidden/>
              </w:rPr>
              <w:instrText xml:space="preserve"> PAGEREF _Toc219208381 \h </w:instrText>
            </w:r>
            <w:r>
              <w:rPr>
                <w:noProof/>
                <w:webHidden/>
              </w:rPr>
            </w:r>
            <w:r>
              <w:rPr>
                <w:noProof/>
                <w:webHidden/>
              </w:rPr>
              <w:fldChar w:fldCharType="separate"/>
            </w:r>
            <w:r>
              <w:rPr>
                <w:noProof/>
                <w:webHidden/>
              </w:rPr>
              <w:t>10</w:t>
            </w:r>
            <w:r>
              <w:rPr>
                <w:noProof/>
                <w:webHidden/>
              </w:rPr>
              <w:fldChar w:fldCharType="end"/>
            </w:r>
          </w:hyperlink>
        </w:p>
        <w:p w14:paraId="074B3D5E" w14:textId="5F035DA2" w:rsidR="000307A4" w:rsidRDefault="000307A4">
          <w:pPr>
            <w:pStyle w:val="TOC2"/>
            <w:tabs>
              <w:tab w:val="right" w:leader="dot" w:pos="9913"/>
            </w:tabs>
            <w:rPr>
              <w:rFonts w:eastAsiaTheme="minorEastAsia"/>
              <w:noProof/>
            </w:rPr>
          </w:pPr>
          <w:hyperlink w:anchor="_Toc219208382" w:history="1">
            <w:r w:rsidRPr="000B2BE2">
              <w:rPr>
                <w:rStyle w:val="Hyperlink"/>
                <w:rFonts w:ascii="Calibri" w:hAnsi="Calibri" w:cs="Calibri"/>
                <w:noProof/>
              </w:rPr>
              <w:t>2.3 Shared Responsibilities</w:t>
            </w:r>
            <w:r>
              <w:rPr>
                <w:noProof/>
                <w:webHidden/>
              </w:rPr>
              <w:tab/>
            </w:r>
            <w:r>
              <w:rPr>
                <w:noProof/>
                <w:webHidden/>
              </w:rPr>
              <w:fldChar w:fldCharType="begin"/>
            </w:r>
            <w:r>
              <w:rPr>
                <w:noProof/>
                <w:webHidden/>
              </w:rPr>
              <w:instrText xml:space="preserve"> PAGEREF _Toc219208382 \h </w:instrText>
            </w:r>
            <w:r>
              <w:rPr>
                <w:noProof/>
                <w:webHidden/>
              </w:rPr>
            </w:r>
            <w:r>
              <w:rPr>
                <w:noProof/>
                <w:webHidden/>
              </w:rPr>
              <w:fldChar w:fldCharType="separate"/>
            </w:r>
            <w:r>
              <w:rPr>
                <w:noProof/>
                <w:webHidden/>
              </w:rPr>
              <w:t>11</w:t>
            </w:r>
            <w:r>
              <w:rPr>
                <w:noProof/>
                <w:webHidden/>
              </w:rPr>
              <w:fldChar w:fldCharType="end"/>
            </w:r>
          </w:hyperlink>
        </w:p>
        <w:p w14:paraId="6C7DEEA7" w14:textId="7229E30C" w:rsidR="000307A4" w:rsidRDefault="000307A4">
          <w:pPr>
            <w:pStyle w:val="TOC1"/>
            <w:tabs>
              <w:tab w:val="right" w:leader="dot" w:pos="9913"/>
            </w:tabs>
            <w:rPr>
              <w:rFonts w:eastAsiaTheme="minorEastAsia"/>
              <w:noProof/>
            </w:rPr>
          </w:pPr>
          <w:hyperlink w:anchor="_Toc219208383" w:history="1">
            <w:r w:rsidRPr="000B2BE2">
              <w:rPr>
                <w:rStyle w:val="Hyperlink"/>
                <w:rFonts w:ascii="Calibri" w:hAnsi="Calibri" w:cs="Calibri"/>
                <w:noProof/>
              </w:rPr>
              <w:t>3. Methodology: Phased Risk Transfer and Implementation Framework</w:t>
            </w:r>
            <w:r>
              <w:rPr>
                <w:noProof/>
                <w:webHidden/>
              </w:rPr>
              <w:tab/>
            </w:r>
            <w:r>
              <w:rPr>
                <w:noProof/>
                <w:webHidden/>
              </w:rPr>
              <w:fldChar w:fldCharType="begin"/>
            </w:r>
            <w:r>
              <w:rPr>
                <w:noProof/>
                <w:webHidden/>
              </w:rPr>
              <w:instrText xml:space="preserve"> PAGEREF _Toc219208383 \h </w:instrText>
            </w:r>
            <w:r>
              <w:rPr>
                <w:noProof/>
                <w:webHidden/>
              </w:rPr>
            </w:r>
            <w:r>
              <w:rPr>
                <w:noProof/>
                <w:webHidden/>
              </w:rPr>
              <w:fldChar w:fldCharType="separate"/>
            </w:r>
            <w:r>
              <w:rPr>
                <w:noProof/>
                <w:webHidden/>
              </w:rPr>
              <w:t>11</w:t>
            </w:r>
            <w:r>
              <w:rPr>
                <w:noProof/>
                <w:webHidden/>
              </w:rPr>
              <w:fldChar w:fldCharType="end"/>
            </w:r>
          </w:hyperlink>
        </w:p>
        <w:p w14:paraId="36395CA7" w14:textId="0E7B5AAE" w:rsidR="000307A4" w:rsidRDefault="000307A4">
          <w:pPr>
            <w:pStyle w:val="TOC2"/>
            <w:tabs>
              <w:tab w:val="right" w:leader="dot" w:pos="9913"/>
            </w:tabs>
            <w:rPr>
              <w:rFonts w:eastAsiaTheme="minorEastAsia"/>
              <w:noProof/>
            </w:rPr>
          </w:pPr>
          <w:hyperlink w:anchor="_Toc219208384" w:history="1">
            <w:r w:rsidRPr="000B2BE2">
              <w:rPr>
                <w:rStyle w:val="Hyperlink"/>
                <w:noProof/>
              </w:rPr>
              <w:t>3.1 Adopt a Phased Risk Transfer Policy Framework</w:t>
            </w:r>
            <w:r>
              <w:rPr>
                <w:noProof/>
                <w:webHidden/>
              </w:rPr>
              <w:tab/>
            </w:r>
            <w:r>
              <w:rPr>
                <w:noProof/>
                <w:webHidden/>
              </w:rPr>
              <w:fldChar w:fldCharType="begin"/>
            </w:r>
            <w:r>
              <w:rPr>
                <w:noProof/>
                <w:webHidden/>
              </w:rPr>
              <w:instrText xml:space="preserve"> PAGEREF _Toc219208384 \h </w:instrText>
            </w:r>
            <w:r>
              <w:rPr>
                <w:noProof/>
                <w:webHidden/>
              </w:rPr>
            </w:r>
            <w:r>
              <w:rPr>
                <w:noProof/>
                <w:webHidden/>
              </w:rPr>
              <w:fldChar w:fldCharType="separate"/>
            </w:r>
            <w:r>
              <w:rPr>
                <w:noProof/>
                <w:webHidden/>
              </w:rPr>
              <w:t>11</w:t>
            </w:r>
            <w:r>
              <w:rPr>
                <w:noProof/>
                <w:webHidden/>
              </w:rPr>
              <w:fldChar w:fldCharType="end"/>
            </w:r>
          </w:hyperlink>
        </w:p>
        <w:p w14:paraId="51A4405E" w14:textId="51B5D50C" w:rsidR="000307A4" w:rsidRDefault="000307A4">
          <w:pPr>
            <w:pStyle w:val="TOC2"/>
            <w:tabs>
              <w:tab w:val="right" w:leader="dot" w:pos="9913"/>
            </w:tabs>
            <w:rPr>
              <w:rFonts w:eastAsiaTheme="minorEastAsia"/>
              <w:noProof/>
            </w:rPr>
          </w:pPr>
          <w:hyperlink w:anchor="_Toc219208385" w:history="1">
            <w:r w:rsidRPr="000B2BE2">
              <w:rPr>
                <w:rStyle w:val="Hyperlink"/>
                <w:noProof/>
              </w:rPr>
              <w:t>3.2 Implementation of roadmap and gating criteria</w:t>
            </w:r>
            <w:r>
              <w:rPr>
                <w:noProof/>
                <w:webHidden/>
              </w:rPr>
              <w:tab/>
            </w:r>
            <w:r>
              <w:rPr>
                <w:noProof/>
                <w:webHidden/>
              </w:rPr>
              <w:fldChar w:fldCharType="begin"/>
            </w:r>
            <w:r>
              <w:rPr>
                <w:noProof/>
                <w:webHidden/>
              </w:rPr>
              <w:instrText xml:space="preserve"> PAGEREF _Toc219208385 \h </w:instrText>
            </w:r>
            <w:r>
              <w:rPr>
                <w:noProof/>
                <w:webHidden/>
              </w:rPr>
            </w:r>
            <w:r>
              <w:rPr>
                <w:noProof/>
                <w:webHidden/>
              </w:rPr>
              <w:fldChar w:fldCharType="separate"/>
            </w:r>
            <w:r>
              <w:rPr>
                <w:noProof/>
                <w:webHidden/>
              </w:rPr>
              <w:t>12</w:t>
            </w:r>
            <w:r>
              <w:rPr>
                <w:noProof/>
                <w:webHidden/>
              </w:rPr>
              <w:fldChar w:fldCharType="end"/>
            </w:r>
          </w:hyperlink>
        </w:p>
        <w:p w14:paraId="25463DDA" w14:textId="6C88E746" w:rsidR="000307A4" w:rsidRDefault="000307A4">
          <w:pPr>
            <w:pStyle w:val="TOC1"/>
            <w:tabs>
              <w:tab w:val="right" w:leader="dot" w:pos="9913"/>
            </w:tabs>
            <w:rPr>
              <w:rFonts w:eastAsiaTheme="minorEastAsia"/>
              <w:noProof/>
            </w:rPr>
          </w:pPr>
          <w:hyperlink w:anchor="_Toc219208386" w:history="1">
            <w:r w:rsidRPr="000B2BE2">
              <w:rPr>
                <w:rStyle w:val="Hyperlink"/>
                <w:noProof/>
              </w:rPr>
              <w:t>4. Contract Design and Payment Structures for Value-Based Contracting</w:t>
            </w:r>
            <w:r>
              <w:rPr>
                <w:noProof/>
                <w:webHidden/>
              </w:rPr>
              <w:tab/>
            </w:r>
            <w:r>
              <w:rPr>
                <w:noProof/>
                <w:webHidden/>
              </w:rPr>
              <w:fldChar w:fldCharType="begin"/>
            </w:r>
            <w:r>
              <w:rPr>
                <w:noProof/>
                <w:webHidden/>
              </w:rPr>
              <w:instrText xml:space="preserve"> PAGEREF _Toc219208386 \h </w:instrText>
            </w:r>
            <w:r>
              <w:rPr>
                <w:noProof/>
                <w:webHidden/>
              </w:rPr>
            </w:r>
            <w:r>
              <w:rPr>
                <w:noProof/>
                <w:webHidden/>
              </w:rPr>
              <w:fldChar w:fldCharType="separate"/>
            </w:r>
            <w:r>
              <w:rPr>
                <w:noProof/>
                <w:webHidden/>
              </w:rPr>
              <w:t>14</w:t>
            </w:r>
            <w:r>
              <w:rPr>
                <w:noProof/>
                <w:webHidden/>
              </w:rPr>
              <w:fldChar w:fldCharType="end"/>
            </w:r>
          </w:hyperlink>
        </w:p>
        <w:p w14:paraId="12BF96A9" w14:textId="127A7E38" w:rsidR="000307A4" w:rsidRDefault="000307A4">
          <w:pPr>
            <w:pStyle w:val="TOC2"/>
            <w:tabs>
              <w:tab w:val="right" w:leader="dot" w:pos="9913"/>
            </w:tabs>
            <w:rPr>
              <w:rFonts w:eastAsiaTheme="minorEastAsia"/>
              <w:noProof/>
            </w:rPr>
          </w:pPr>
          <w:hyperlink w:anchor="_Toc219208387" w:history="1">
            <w:r w:rsidRPr="000B2BE2">
              <w:rPr>
                <w:rStyle w:val="Hyperlink"/>
                <w:noProof/>
              </w:rPr>
              <w:t>4.1 Scope of Services and Episode Definition</w:t>
            </w:r>
            <w:r>
              <w:rPr>
                <w:noProof/>
                <w:webHidden/>
              </w:rPr>
              <w:tab/>
            </w:r>
            <w:r>
              <w:rPr>
                <w:noProof/>
                <w:webHidden/>
              </w:rPr>
              <w:fldChar w:fldCharType="begin"/>
            </w:r>
            <w:r>
              <w:rPr>
                <w:noProof/>
                <w:webHidden/>
              </w:rPr>
              <w:instrText xml:space="preserve"> PAGEREF _Toc219208387 \h </w:instrText>
            </w:r>
            <w:r>
              <w:rPr>
                <w:noProof/>
                <w:webHidden/>
              </w:rPr>
            </w:r>
            <w:r>
              <w:rPr>
                <w:noProof/>
                <w:webHidden/>
              </w:rPr>
              <w:fldChar w:fldCharType="separate"/>
            </w:r>
            <w:r>
              <w:rPr>
                <w:noProof/>
                <w:webHidden/>
              </w:rPr>
              <w:t>14</w:t>
            </w:r>
            <w:r>
              <w:rPr>
                <w:noProof/>
                <w:webHidden/>
              </w:rPr>
              <w:fldChar w:fldCharType="end"/>
            </w:r>
          </w:hyperlink>
        </w:p>
        <w:p w14:paraId="5B03894A" w14:textId="083B9E67" w:rsidR="000307A4" w:rsidRDefault="000307A4">
          <w:pPr>
            <w:pStyle w:val="TOC2"/>
            <w:tabs>
              <w:tab w:val="right" w:leader="dot" w:pos="9913"/>
            </w:tabs>
            <w:rPr>
              <w:rFonts w:eastAsiaTheme="minorEastAsia"/>
              <w:noProof/>
            </w:rPr>
          </w:pPr>
          <w:hyperlink w:anchor="_Toc219208388" w:history="1">
            <w:r w:rsidRPr="000B2BE2">
              <w:rPr>
                <w:rStyle w:val="Hyperlink"/>
                <w:noProof/>
              </w:rPr>
              <w:t>4.2 Patient Eligibility, Attribution, and Volume Thresholds</w:t>
            </w:r>
            <w:r>
              <w:rPr>
                <w:noProof/>
                <w:webHidden/>
              </w:rPr>
              <w:tab/>
            </w:r>
            <w:r>
              <w:rPr>
                <w:noProof/>
                <w:webHidden/>
              </w:rPr>
              <w:fldChar w:fldCharType="begin"/>
            </w:r>
            <w:r>
              <w:rPr>
                <w:noProof/>
                <w:webHidden/>
              </w:rPr>
              <w:instrText xml:space="preserve"> PAGEREF _Toc219208388 \h </w:instrText>
            </w:r>
            <w:r>
              <w:rPr>
                <w:noProof/>
                <w:webHidden/>
              </w:rPr>
            </w:r>
            <w:r>
              <w:rPr>
                <w:noProof/>
                <w:webHidden/>
              </w:rPr>
              <w:fldChar w:fldCharType="separate"/>
            </w:r>
            <w:r>
              <w:rPr>
                <w:noProof/>
                <w:webHidden/>
              </w:rPr>
              <w:t>14</w:t>
            </w:r>
            <w:r>
              <w:rPr>
                <w:noProof/>
                <w:webHidden/>
              </w:rPr>
              <w:fldChar w:fldCharType="end"/>
            </w:r>
          </w:hyperlink>
        </w:p>
        <w:p w14:paraId="31B6C90E" w14:textId="7D617F51" w:rsidR="000307A4" w:rsidRDefault="000307A4">
          <w:pPr>
            <w:pStyle w:val="TOC2"/>
            <w:tabs>
              <w:tab w:val="right" w:leader="dot" w:pos="9913"/>
            </w:tabs>
            <w:rPr>
              <w:rFonts w:eastAsiaTheme="minorEastAsia"/>
              <w:noProof/>
            </w:rPr>
          </w:pPr>
          <w:hyperlink w:anchor="_Toc219208389" w:history="1">
            <w:r w:rsidRPr="000B2BE2">
              <w:rPr>
                <w:rStyle w:val="Hyperlink"/>
                <w:noProof/>
              </w:rPr>
              <w:t>4.3 Outcome, Quality, and Performance Measures</w:t>
            </w:r>
            <w:r>
              <w:rPr>
                <w:noProof/>
                <w:webHidden/>
              </w:rPr>
              <w:tab/>
            </w:r>
            <w:r>
              <w:rPr>
                <w:noProof/>
                <w:webHidden/>
              </w:rPr>
              <w:fldChar w:fldCharType="begin"/>
            </w:r>
            <w:r>
              <w:rPr>
                <w:noProof/>
                <w:webHidden/>
              </w:rPr>
              <w:instrText xml:space="preserve"> PAGEREF _Toc219208389 \h </w:instrText>
            </w:r>
            <w:r>
              <w:rPr>
                <w:noProof/>
                <w:webHidden/>
              </w:rPr>
            </w:r>
            <w:r>
              <w:rPr>
                <w:noProof/>
                <w:webHidden/>
              </w:rPr>
              <w:fldChar w:fldCharType="separate"/>
            </w:r>
            <w:r>
              <w:rPr>
                <w:noProof/>
                <w:webHidden/>
              </w:rPr>
              <w:t>15</w:t>
            </w:r>
            <w:r>
              <w:rPr>
                <w:noProof/>
                <w:webHidden/>
              </w:rPr>
              <w:fldChar w:fldCharType="end"/>
            </w:r>
          </w:hyperlink>
        </w:p>
        <w:p w14:paraId="4C4BEA83" w14:textId="58FF804F" w:rsidR="000307A4" w:rsidRDefault="000307A4">
          <w:pPr>
            <w:pStyle w:val="TOC2"/>
            <w:tabs>
              <w:tab w:val="right" w:leader="dot" w:pos="9913"/>
            </w:tabs>
            <w:rPr>
              <w:rFonts w:eastAsiaTheme="minorEastAsia"/>
              <w:noProof/>
            </w:rPr>
          </w:pPr>
          <w:hyperlink w:anchor="_Toc219208390" w:history="1">
            <w:r w:rsidRPr="000B2BE2">
              <w:rPr>
                <w:rStyle w:val="Hyperlink"/>
                <w:noProof/>
              </w:rPr>
              <w:t>4.4 Risk Adjustment and Case-Mix Protection</w:t>
            </w:r>
            <w:r>
              <w:rPr>
                <w:noProof/>
                <w:webHidden/>
              </w:rPr>
              <w:tab/>
            </w:r>
            <w:r>
              <w:rPr>
                <w:noProof/>
                <w:webHidden/>
              </w:rPr>
              <w:fldChar w:fldCharType="begin"/>
            </w:r>
            <w:r>
              <w:rPr>
                <w:noProof/>
                <w:webHidden/>
              </w:rPr>
              <w:instrText xml:space="preserve"> PAGEREF _Toc219208390 \h </w:instrText>
            </w:r>
            <w:r>
              <w:rPr>
                <w:noProof/>
                <w:webHidden/>
              </w:rPr>
            </w:r>
            <w:r>
              <w:rPr>
                <w:noProof/>
                <w:webHidden/>
              </w:rPr>
              <w:fldChar w:fldCharType="separate"/>
            </w:r>
            <w:r>
              <w:rPr>
                <w:noProof/>
                <w:webHidden/>
              </w:rPr>
              <w:t>15</w:t>
            </w:r>
            <w:r>
              <w:rPr>
                <w:noProof/>
                <w:webHidden/>
              </w:rPr>
              <w:fldChar w:fldCharType="end"/>
            </w:r>
          </w:hyperlink>
        </w:p>
        <w:p w14:paraId="177087EC" w14:textId="1E3E1C5A" w:rsidR="000307A4" w:rsidRDefault="000307A4">
          <w:pPr>
            <w:pStyle w:val="TOC2"/>
            <w:tabs>
              <w:tab w:val="right" w:leader="dot" w:pos="9913"/>
            </w:tabs>
            <w:rPr>
              <w:rFonts w:eastAsiaTheme="minorEastAsia"/>
              <w:noProof/>
            </w:rPr>
          </w:pPr>
          <w:hyperlink w:anchor="_Toc219208391" w:history="1">
            <w:r w:rsidRPr="000B2BE2">
              <w:rPr>
                <w:rStyle w:val="Hyperlink"/>
                <w:noProof/>
              </w:rPr>
              <w:t>4.5 Benchmarking and Economic Parameters</w:t>
            </w:r>
            <w:r>
              <w:rPr>
                <w:noProof/>
                <w:webHidden/>
              </w:rPr>
              <w:tab/>
            </w:r>
            <w:r>
              <w:rPr>
                <w:noProof/>
                <w:webHidden/>
              </w:rPr>
              <w:fldChar w:fldCharType="begin"/>
            </w:r>
            <w:r>
              <w:rPr>
                <w:noProof/>
                <w:webHidden/>
              </w:rPr>
              <w:instrText xml:space="preserve"> PAGEREF _Toc219208391 \h </w:instrText>
            </w:r>
            <w:r>
              <w:rPr>
                <w:noProof/>
                <w:webHidden/>
              </w:rPr>
            </w:r>
            <w:r>
              <w:rPr>
                <w:noProof/>
                <w:webHidden/>
              </w:rPr>
              <w:fldChar w:fldCharType="separate"/>
            </w:r>
            <w:r>
              <w:rPr>
                <w:noProof/>
                <w:webHidden/>
              </w:rPr>
              <w:t>15</w:t>
            </w:r>
            <w:r>
              <w:rPr>
                <w:noProof/>
                <w:webHidden/>
              </w:rPr>
              <w:fldChar w:fldCharType="end"/>
            </w:r>
          </w:hyperlink>
        </w:p>
        <w:p w14:paraId="531B2487" w14:textId="567F9AA0" w:rsidR="000307A4" w:rsidRDefault="000307A4">
          <w:pPr>
            <w:pStyle w:val="TOC1"/>
            <w:tabs>
              <w:tab w:val="right" w:leader="dot" w:pos="9913"/>
            </w:tabs>
            <w:rPr>
              <w:rFonts w:eastAsiaTheme="minorEastAsia"/>
              <w:noProof/>
            </w:rPr>
          </w:pPr>
          <w:hyperlink w:anchor="_Toc219208392" w:history="1">
            <w:r w:rsidRPr="000B2BE2">
              <w:rPr>
                <w:rStyle w:val="Hyperlink"/>
                <w:noProof/>
              </w:rPr>
              <w:t>Conclusion</w:t>
            </w:r>
            <w:r>
              <w:rPr>
                <w:noProof/>
                <w:webHidden/>
              </w:rPr>
              <w:tab/>
            </w:r>
            <w:r>
              <w:rPr>
                <w:noProof/>
                <w:webHidden/>
              </w:rPr>
              <w:fldChar w:fldCharType="begin"/>
            </w:r>
            <w:r>
              <w:rPr>
                <w:noProof/>
                <w:webHidden/>
              </w:rPr>
              <w:instrText xml:space="preserve"> PAGEREF _Toc219208392 \h </w:instrText>
            </w:r>
            <w:r>
              <w:rPr>
                <w:noProof/>
                <w:webHidden/>
              </w:rPr>
            </w:r>
            <w:r>
              <w:rPr>
                <w:noProof/>
                <w:webHidden/>
              </w:rPr>
              <w:fldChar w:fldCharType="separate"/>
            </w:r>
            <w:r>
              <w:rPr>
                <w:noProof/>
                <w:webHidden/>
              </w:rPr>
              <w:t>16</w:t>
            </w:r>
            <w:r>
              <w:rPr>
                <w:noProof/>
                <w:webHidden/>
              </w:rPr>
              <w:fldChar w:fldCharType="end"/>
            </w:r>
          </w:hyperlink>
        </w:p>
        <w:p w14:paraId="535526EF" w14:textId="76DCE2D6" w:rsidR="000307A4" w:rsidRDefault="000307A4">
          <w:pPr>
            <w:pStyle w:val="TOC1"/>
            <w:tabs>
              <w:tab w:val="right" w:leader="dot" w:pos="9913"/>
            </w:tabs>
            <w:rPr>
              <w:rFonts w:eastAsiaTheme="minorEastAsia"/>
              <w:noProof/>
            </w:rPr>
          </w:pPr>
          <w:hyperlink w:anchor="_Toc219208393" w:history="1">
            <w:r w:rsidRPr="000B2BE2">
              <w:rPr>
                <w:rStyle w:val="Hyperlink"/>
                <w:noProof/>
              </w:rPr>
              <w:t>References (</w:t>
            </w:r>
            <w:r w:rsidRPr="000B2BE2">
              <w:rPr>
                <w:rStyle w:val="Hyperlink"/>
                <w:noProof/>
                <w:highlight w:val="yellow"/>
              </w:rPr>
              <w:t>to be added from the library</w:t>
            </w:r>
            <w:r w:rsidRPr="000B2BE2">
              <w:rPr>
                <w:rStyle w:val="Hyperlink"/>
                <w:noProof/>
              </w:rPr>
              <w:t>):</w:t>
            </w:r>
            <w:r>
              <w:rPr>
                <w:noProof/>
                <w:webHidden/>
              </w:rPr>
              <w:tab/>
            </w:r>
            <w:r>
              <w:rPr>
                <w:noProof/>
                <w:webHidden/>
              </w:rPr>
              <w:fldChar w:fldCharType="begin"/>
            </w:r>
            <w:r>
              <w:rPr>
                <w:noProof/>
                <w:webHidden/>
              </w:rPr>
              <w:instrText xml:space="preserve"> PAGEREF _Toc219208393 \h </w:instrText>
            </w:r>
            <w:r>
              <w:rPr>
                <w:noProof/>
                <w:webHidden/>
              </w:rPr>
            </w:r>
            <w:r>
              <w:rPr>
                <w:noProof/>
                <w:webHidden/>
              </w:rPr>
              <w:fldChar w:fldCharType="separate"/>
            </w:r>
            <w:r>
              <w:rPr>
                <w:noProof/>
                <w:webHidden/>
              </w:rPr>
              <w:t>16</w:t>
            </w:r>
            <w:r>
              <w:rPr>
                <w:noProof/>
                <w:webHidden/>
              </w:rPr>
              <w:fldChar w:fldCharType="end"/>
            </w:r>
          </w:hyperlink>
        </w:p>
        <w:p w14:paraId="04C37B24" w14:textId="2C331922" w:rsidR="000307A4" w:rsidRDefault="000307A4">
          <w:pPr>
            <w:pStyle w:val="TOC1"/>
            <w:tabs>
              <w:tab w:val="right" w:leader="dot" w:pos="9913"/>
            </w:tabs>
            <w:rPr>
              <w:rFonts w:eastAsiaTheme="minorEastAsia"/>
              <w:noProof/>
            </w:rPr>
          </w:pPr>
          <w:hyperlink w:anchor="_Toc219208394" w:history="1">
            <w:r w:rsidRPr="000B2BE2">
              <w:rPr>
                <w:rStyle w:val="Hyperlink"/>
                <w:noProof/>
              </w:rPr>
              <w:t>Annexes (contract template, principles map, measure specs)</w:t>
            </w:r>
            <w:r>
              <w:rPr>
                <w:noProof/>
                <w:webHidden/>
              </w:rPr>
              <w:tab/>
            </w:r>
            <w:r>
              <w:rPr>
                <w:noProof/>
                <w:webHidden/>
              </w:rPr>
              <w:fldChar w:fldCharType="begin"/>
            </w:r>
            <w:r>
              <w:rPr>
                <w:noProof/>
                <w:webHidden/>
              </w:rPr>
              <w:instrText xml:space="preserve"> PAGEREF _Toc219208394 \h </w:instrText>
            </w:r>
            <w:r>
              <w:rPr>
                <w:noProof/>
                <w:webHidden/>
              </w:rPr>
            </w:r>
            <w:r>
              <w:rPr>
                <w:noProof/>
                <w:webHidden/>
              </w:rPr>
              <w:fldChar w:fldCharType="separate"/>
            </w:r>
            <w:r>
              <w:rPr>
                <w:noProof/>
                <w:webHidden/>
              </w:rPr>
              <w:t>18</w:t>
            </w:r>
            <w:r>
              <w:rPr>
                <w:noProof/>
                <w:webHidden/>
              </w:rPr>
              <w:fldChar w:fldCharType="end"/>
            </w:r>
          </w:hyperlink>
        </w:p>
        <w:p w14:paraId="200C7E21" w14:textId="5A57BF29" w:rsidR="0DACE1A3" w:rsidRDefault="0DACE1A3" w:rsidP="0DACE1A3">
          <w:pPr>
            <w:pStyle w:val="TOC1"/>
            <w:tabs>
              <w:tab w:val="right" w:leader="dot" w:pos="9915"/>
            </w:tabs>
            <w:rPr>
              <w:rStyle w:val="Hyperlink"/>
            </w:rPr>
          </w:pPr>
          <w:r>
            <w:fldChar w:fldCharType="end"/>
          </w:r>
        </w:p>
      </w:sdtContent>
    </w:sdt>
    <w:p w14:paraId="541E87AD" w14:textId="3BCE0D1A" w:rsidR="0DACE1A3" w:rsidRDefault="0DACE1A3" w:rsidP="0DACE1A3">
      <w:pPr>
        <w:spacing w:after="0" w:line="240" w:lineRule="auto"/>
        <w:rPr>
          <w:rFonts w:ascii="Calibri" w:hAnsi="Calibri" w:cs="Calibri"/>
        </w:rPr>
      </w:pPr>
    </w:p>
    <w:p w14:paraId="19F2EC3B" w14:textId="77777777" w:rsidR="009F5F42" w:rsidRPr="00E43E9B" w:rsidRDefault="009F5F42" w:rsidP="00F200AB">
      <w:pPr>
        <w:spacing w:after="0" w:line="240" w:lineRule="auto"/>
        <w:rPr>
          <w:rFonts w:ascii="Calibri" w:hAnsi="Calibri" w:cs="Calibri"/>
        </w:rPr>
      </w:pPr>
    </w:p>
    <w:p w14:paraId="0F1B3140" w14:textId="77777777" w:rsidR="00F200AB" w:rsidRPr="00E43E9B" w:rsidRDefault="00F200AB">
      <w:pPr>
        <w:rPr>
          <w:rFonts w:ascii="Calibri" w:eastAsiaTheme="majorEastAsia" w:hAnsi="Calibri" w:cs="Calibri"/>
          <w:color w:val="0F4761" w:themeColor="accent1" w:themeShade="BF"/>
          <w:sz w:val="40"/>
          <w:szCs w:val="40"/>
        </w:rPr>
      </w:pPr>
      <w:r w:rsidRPr="00E43E9B">
        <w:rPr>
          <w:rFonts w:ascii="Calibri" w:hAnsi="Calibri" w:cs="Calibri"/>
        </w:rPr>
        <w:br w:type="page"/>
      </w:r>
    </w:p>
    <w:p w14:paraId="46548AB0" w14:textId="7A778C73" w:rsidR="009A7569" w:rsidRPr="00E43E9B" w:rsidRDefault="009A7569" w:rsidP="009A7569">
      <w:pPr>
        <w:pStyle w:val="Heading1"/>
        <w:spacing w:before="0" w:after="0" w:line="240" w:lineRule="auto"/>
        <w:rPr>
          <w:rFonts w:ascii="Calibri" w:hAnsi="Calibri" w:cs="Calibri"/>
        </w:rPr>
      </w:pPr>
      <w:bookmarkStart w:id="1" w:name="_Toc219208374"/>
      <w:r w:rsidRPr="00E43E9B">
        <w:rPr>
          <w:rFonts w:ascii="Calibri" w:hAnsi="Calibri" w:cs="Calibri"/>
        </w:rPr>
        <w:lastRenderedPageBreak/>
        <w:t>1. Purpose and Scope</w:t>
      </w:r>
      <w:bookmarkEnd w:id="1"/>
    </w:p>
    <w:p w14:paraId="36A729CF" w14:textId="082EB639" w:rsidR="009A7569" w:rsidRPr="00E43E9B" w:rsidRDefault="009A7569" w:rsidP="0DACE1A3">
      <w:pPr>
        <w:pStyle w:val="Heading2"/>
        <w:rPr>
          <w:rFonts w:ascii="Calibri" w:hAnsi="Calibri" w:cs="Calibri"/>
        </w:rPr>
      </w:pPr>
      <w:bookmarkStart w:id="2" w:name="_Toc219208375"/>
      <w:r>
        <w:t>1.1</w:t>
      </w:r>
      <w:r w:rsidR="10A1725D">
        <w:t>.</w:t>
      </w:r>
      <w:r>
        <w:t xml:space="preserve"> Purpose</w:t>
      </w:r>
      <w:r w:rsidR="02FC76A1">
        <w:t xml:space="preserve"> and Core principles</w:t>
      </w:r>
      <w:bookmarkEnd w:id="2"/>
    </w:p>
    <w:p w14:paraId="08658BE3" w14:textId="2C45D983" w:rsidR="008268A7" w:rsidRPr="00E43E9B" w:rsidRDefault="009A7569" w:rsidP="009A7569">
      <w:pPr>
        <w:spacing w:after="0" w:line="240" w:lineRule="auto"/>
        <w:rPr>
          <w:rFonts w:ascii="Calibri" w:hAnsi="Calibri" w:cs="Calibri"/>
        </w:rPr>
      </w:pPr>
      <w:r w:rsidRPr="2CD5189A">
        <w:rPr>
          <w:rFonts w:ascii="Calibri" w:hAnsi="Calibri" w:cs="Calibri"/>
        </w:rPr>
        <w:t xml:space="preserve">The purpose of Value-Based Contracting (VBC) </w:t>
      </w:r>
      <w:r w:rsidR="00AB67DC" w:rsidRPr="2CD5189A">
        <w:rPr>
          <w:rFonts w:ascii="Calibri" w:hAnsi="Calibri" w:cs="Calibri"/>
        </w:rPr>
        <w:t>g</w:t>
      </w:r>
      <w:r w:rsidRPr="2CD5189A">
        <w:rPr>
          <w:rFonts w:ascii="Calibri" w:hAnsi="Calibri" w:cs="Calibri"/>
        </w:rPr>
        <w:t>uideline</w:t>
      </w:r>
      <w:r w:rsidR="00F200AB" w:rsidRPr="2CD5189A">
        <w:rPr>
          <w:rFonts w:ascii="Calibri" w:hAnsi="Calibri" w:cs="Calibri"/>
        </w:rPr>
        <w:t>s</w:t>
      </w:r>
      <w:r w:rsidRPr="2CD5189A">
        <w:rPr>
          <w:rFonts w:ascii="Calibri" w:hAnsi="Calibri" w:cs="Calibri"/>
        </w:rPr>
        <w:t xml:space="preserve"> for </w:t>
      </w:r>
      <w:r w:rsidR="00AB67DC" w:rsidRPr="2CD5189A">
        <w:rPr>
          <w:rFonts w:ascii="Calibri" w:hAnsi="Calibri" w:cs="Calibri"/>
        </w:rPr>
        <w:t>h</w:t>
      </w:r>
      <w:r w:rsidRPr="2CD5189A">
        <w:rPr>
          <w:rFonts w:ascii="Calibri" w:hAnsi="Calibri" w:cs="Calibri"/>
        </w:rPr>
        <w:t xml:space="preserve">ealthcare </w:t>
      </w:r>
      <w:r w:rsidR="00AB67DC" w:rsidRPr="2CD5189A">
        <w:rPr>
          <w:rFonts w:ascii="Calibri" w:hAnsi="Calibri" w:cs="Calibri"/>
        </w:rPr>
        <w:t>p</w:t>
      </w:r>
      <w:r w:rsidRPr="2CD5189A">
        <w:rPr>
          <w:rFonts w:ascii="Calibri" w:hAnsi="Calibri" w:cs="Calibri"/>
        </w:rPr>
        <w:t>roviders is to support the transition of the Saudi private health</w:t>
      </w:r>
      <w:r w:rsidR="4AEC32E8" w:rsidRPr="2CD5189A">
        <w:rPr>
          <w:rFonts w:ascii="Calibri" w:hAnsi="Calibri" w:cs="Calibri"/>
        </w:rPr>
        <w:t>care sector</w:t>
      </w:r>
      <w:r w:rsidRPr="2CD5189A">
        <w:rPr>
          <w:rFonts w:ascii="Calibri" w:hAnsi="Calibri" w:cs="Calibri"/>
        </w:rPr>
        <w:t xml:space="preserve"> from volume-based </w:t>
      </w:r>
      <w:r w:rsidRPr="00FC4EDE">
        <w:rPr>
          <w:rFonts w:ascii="Calibri" w:hAnsi="Calibri" w:cs="Calibri"/>
          <w:highlight w:val="cyan"/>
        </w:rPr>
        <w:t>reimbursement models toward value-based contracting arran</w:t>
      </w:r>
      <w:r w:rsidRPr="2CD5189A">
        <w:rPr>
          <w:rFonts w:ascii="Calibri" w:hAnsi="Calibri" w:cs="Calibri"/>
        </w:rPr>
        <w:t>gements that reward better health outcomes, higher quality of care, and efficient resource utilization.</w:t>
      </w:r>
      <w:r w:rsidR="1354F741" w:rsidRPr="2C5E02EF">
        <w:rPr>
          <w:rFonts w:ascii="Calibri" w:hAnsi="Calibri" w:cs="Calibri"/>
        </w:rPr>
        <w:t xml:space="preserve"> </w:t>
      </w:r>
      <w:r w:rsidR="052C387A" w:rsidRPr="2C5E02EF">
        <w:rPr>
          <w:rFonts w:ascii="Calibri" w:hAnsi="Calibri" w:cs="Calibri"/>
          <w:b/>
          <w:bCs/>
        </w:rPr>
        <w:t>Value-Based Contracting VBC</w:t>
      </w:r>
      <w:r w:rsidR="052C387A" w:rsidRPr="2C5E02EF">
        <w:rPr>
          <w:rFonts w:ascii="Calibri" w:hAnsi="Calibri" w:cs="Calibri"/>
        </w:rPr>
        <w:t xml:space="preserve"> is a payment arrangement where provider reimbursement is explicitly linked to achievement of predefined quality metrics, patient outcomes, and cost efficiency targets, rather than volume of services delivered </w:t>
      </w:r>
      <w:r w:rsidR="00FA43C7" w:rsidRPr="2C5E02EF">
        <w:rPr>
          <w:rFonts w:ascii="Calibri" w:hAnsi="Calibri" w:cs="Calibri"/>
        </w:rPr>
        <w:t>(1).</w:t>
      </w:r>
    </w:p>
    <w:p w14:paraId="12AB356C" w14:textId="2F226A4D" w:rsidR="2C5E02EF" w:rsidRDefault="2C5E02EF" w:rsidP="2C5E02EF">
      <w:pPr>
        <w:spacing w:after="0" w:line="240" w:lineRule="auto"/>
        <w:rPr>
          <w:rFonts w:ascii="Calibri" w:hAnsi="Calibri" w:cs="Calibri"/>
        </w:rPr>
      </w:pPr>
    </w:p>
    <w:p w14:paraId="1C0A30E1" w14:textId="2727103D" w:rsidR="009A7569" w:rsidRPr="00E43E9B" w:rsidRDefault="009A7569" w:rsidP="009A7569">
      <w:pPr>
        <w:spacing w:after="0" w:line="240" w:lineRule="auto"/>
        <w:rPr>
          <w:rFonts w:ascii="Calibri" w:hAnsi="Calibri" w:cs="Calibri"/>
        </w:rPr>
      </w:pPr>
      <w:r w:rsidRPr="00E43E9B">
        <w:rPr>
          <w:rFonts w:ascii="Calibri" w:hAnsi="Calibri" w:cs="Calibri"/>
        </w:rPr>
        <w:t xml:space="preserve">Building on the Council of Health Insurance’s (CHI) ongoing reforms in </w:t>
      </w:r>
      <w:r w:rsidR="7DEA0725" w:rsidRPr="2C5E02EF">
        <w:rPr>
          <w:rFonts w:ascii="Calibri" w:hAnsi="Calibri" w:cs="Calibri"/>
        </w:rPr>
        <w:t xml:space="preserve">improving healthcare outcomes, </w:t>
      </w:r>
      <w:r w:rsidRPr="00E43E9B">
        <w:rPr>
          <w:rFonts w:ascii="Calibri" w:hAnsi="Calibri" w:cs="Calibri"/>
        </w:rPr>
        <w:t xml:space="preserve">benefit package design, </w:t>
      </w:r>
      <w:r w:rsidR="6C86BC44" w:rsidRPr="2C5E02EF">
        <w:rPr>
          <w:rFonts w:ascii="Calibri" w:hAnsi="Calibri" w:cs="Calibri"/>
        </w:rPr>
        <w:t>private sector’s</w:t>
      </w:r>
      <w:r w:rsidRPr="00E43E9B">
        <w:rPr>
          <w:rFonts w:ascii="Calibri" w:hAnsi="Calibri" w:cs="Calibri"/>
        </w:rPr>
        <w:t xml:space="preserve"> payment mechanisms, and healthcare pricing, these guidelines aim to:</w:t>
      </w:r>
    </w:p>
    <w:p w14:paraId="4E01DE23" w14:textId="77777777" w:rsidR="009A7569" w:rsidRPr="00E43E9B" w:rsidRDefault="009A7569" w:rsidP="009A7569">
      <w:pPr>
        <w:spacing w:after="0" w:line="240" w:lineRule="auto"/>
        <w:rPr>
          <w:rFonts w:ascii="Calibri" w:hAnsi="Calibri" w:cs="Calibri"/>
        </w:rPr>
      </w:pPr>
    </w:p>
    <w:p w14:paraId="61E467CB" w14:textId="07FDCC82" w:rsidR="009A7569" w:rsidRPr="00E43E9B" w:rsidRDefault="009A7569" w:rsidP="009A7569">
      <w:pPr>
        <w:pStyle w:val="ListParagraph"/>
        <w:numPr>
          <w:ilvl w:val="0"/>
          <w:numId w:val="1"/>
        </w:numPr>
        <w:spacing w:after="0" w:line="240" w:lineRule="auto"/>
        <w:rPr>
          <w:rFonts w:ascii="Calibri" w:hAnsi="Calibri" w:cs="Calibri"/>
        </w:rPr>
      </w:pPr>
      <w:r w:rsidRPr="2CD5189A">
        <w:rPr>
          <w:rFonts w:ascii="Calibri" w:hAnsi="Calibri" w:cs="Calibri"/>
        </w:rPr>
        <w:t>Provide a structured and consistent framework to support healthcare providers and payers in designing, negotiating, and implementing value-based contracts.</w:t>
      </w:r>
    </w:p>
    <w:p w14:paraId="3BEC36FE" w14:textId="1432DDDD" w:rsidR="009A7569" w:rsidRPr="00E43E9B" w:rsidRDefault="009A7569" w:rsidP="009A7569">
      <w:pPr>
        <w:pStyle w:val="ListParagraph"/>
        <w:numPr>
          <w:ilvl w:val="0"/>
          <w:numId w:val="1"/>
        </w:numPr>
        <w:spacing w:after="0" w:line="240" w:lineRule="auto"/>
        <w:rPr>
          <w:rFonts w:ascii="Calibri" w:hAnsi="Calibri" w:cs="Calibri"/>
        </w:rPr>
      </w:pPr>
      <w:r w:rsidRPr="00E43E9B">
        <w:rPr>
          <w:rFonts w:ascii="Calibri" w:hAnsi="Calibri" w:cs="Calibri"/>
        </w:rPr>
        <w:t>Enable effective contracting over bundled payment models, where reimbursement is linked not only to predefined prices but also to quality and outcome performance.</w:t>
      </w:r>
    </w:p>
    <w:p w14:paraId="43DA66A4" w14:textId="7E763296" w:rsidR="009A7569" w:rsidRPr="00E43E9B" w:rsidRDefault="009A7569" w:rsidP="009A7569">
      <w:pPr>
        <w:pStyle w:val="ListParagraph"/>
        <w:numPr>
          <w:ilvl w:val="0"/>
          <w:numId w:val="1"/>
        </w:numPr>
        <w:spacing w:after="0" w:line="240" w:lineRule="auto"/>
        <w:rPr>
          <w:rFonts w:ascii="Calibri" w:hAnsi="Calibri" w:cs="Calibri"/>
        </w:rPr>
      </w:pPr>
      <w:r w:rsidRPr="00E43E9B">
        <w:rPr>
          <w:rFonts w:ascii="Calibri" w:hAnsi="Calibri" w:cs="Calibri"/>
        </w:rPr>
        <w:t>Promote alignment between clinical outcomes, patient experience, and financial incentives, while safeguarding access, equity, and patient protection.</w:t>
      </w:r>
    </w:p>
    <w:p w14:paraId="23720C22" w14:textId="0A171944" w:rsidR="009A7569" w:rsidRDefault="009A7569" w:rsidP="009A7569">
      <w:pPr>
        <w:pStyle w:val="ListParagraph"/>
        <w:numPr>
          <w:ilvl w:val="0"/>
          <w:numId w:val="1"/>
        </w:numPr>
        <w:spacing w:after="0" w:line="240" w:lineRule="auto"/>
        <w:rPr>
          <w:rFonts w:ascii="Calibri" w:hAnsi="Calibri" w:cs="Calibri"/>
        </w:rPr>
      </w:pPr>
      <w:r w:rsidRPr="00E43E9B">
        <w:rPr>
          <w:rFonts w:ascii="Calibri" w:hAnsi="Calibri" w:cs="Calibri"/>
        </w:rPr>
        <w:t>Reduce unwarranted variation in clinical practice and costs, while maintaining provider sustainability and market stability.</w:t>
      </w:r>
    </w:p>
    <w:p w14:paraId="449F3DBB" w14:textId="77777777" w:rsidR="009247DD" w:rsidRPr="00E43E9B" w:rsidRDefault="009247DD" w:rsidP="009247DD">
      <w:pPr>
        <w:pStyle w:val="ListParagraph"/>
        <w:spacing w:after="0" w:line="240" w:lineRule="auto"/>
        <w:rPr>
          <w:rFonts w:ascii="Calibri" w:hAnsi="Calibri" w:cs="Calibri"/>
        </w:rPr>
      </w:pPr>
    </w:p>
    <w:p w14:paraId="4852ABF0" w14:textId="7A60515B" w:rsidR="00F200AB" w:rsidRPr="00E43E9B" w:rsidRDefault="00F200AB" w:rsidP="00BE7625">
      <w:pPr>
        <w:spacing w:after="0" w:line="240" w:lineRule="auto"/>
        <w:rPr>
          <w:rFonts w:ascii="Calibri" w:hAnsi="Calibri" w:cs="Calibri"/>
        </w:rPr>
      </w:pPr>
      <w:r w:rsidRPr="06B6D17C">
        <w:rPr>
          <w:rFonts w:ascii="Calibri" w:hAnsi="Calibri" w:cs="Calibri"/>
        </w:rPr>
        <w:t>The</w:t>
      </w:r>
      <w:r w:rsidR="009A7569" w:rsidRPr="06B6D17C">
        <w:rPr>
          <w:rFonts w:ascii="Calibri" w:hAnsi="Calibri" w:cs="Calibri"/>
        </w:rPr>
        <w:t xml:space="preserve"> guidelines reflect CHI’s role as the private healthcare regulator, facilitating the adoption of value-based approaches without interfering in commercial negotiations between payers and providers.</w:t>
      </w:r>
      <w:r w:rsidRPr="06B6D17C">
        <w:rPr>
          <w:rFonts w:ascii="Calibri" w:hAnsi="Calibri" w:cs="Calibri"/>
        </w:rPr>
        <w:t xml:space="preserve">  This guide is intended for healthcare providers participating in or planning to participate in bundled </w:t>
      </w:r>
      <w:r w:rsidR="00662D82" w:rsidRPr="06B6D17C">
        <w:rPr>
          <w:rFonts w:ascii="Calibri" w:hAnsi="Calibri" w:cs="Calibri"/>
        </w:rPr>
        <w:t xml:space="preserve">payments </w:t>
      </w:r>
      <w:r w:rsidRPr="06B6D17C">
        <w:rPr>
          <w:rFonts w:ascii="Calibri" w:hAnsi="Calibri" w:cs="Calibri"/>
        </w:rPr>
        <w:t>or value-based contracts</w:t>
      </w:r>
      <w:r w:rsidR="00F04D73" w:rsidRPr="06B6D17C">
        <w:rPr>
          <w:rFonts w:ascii="Calibri" w:hAnsi="Calibri" w:cs="Calibri"/>
        </w:rPr>
        <w:t xml:space="preserve"> where</w:t>
      </w:r>
      <w:r w:rsidRPr="06B6D17C">
        <w:rPr>
          <w:rFonts w:ascii="Calibri" w:hAnsi="Calibri" w:cs="Calibri"/>
        </w:rPr>
        <w:t xml:space="preserve"> </w:t>
      </w:r>
      <w:r w:rsidR="00042530" w:rsidRPr="06B6D17C">
        <w:rPr>
          <w:rFonts w:ascii="Calibri" w:hAnsi="Calibri" w:cs="Calibri"/>
        </w:rPr>
        <w:t>Bundled payments are defined by CHI as (</w:t>
      </w:r>
      <w:r w:rsidR="00A633D8" w:rsidRPr="06B6D17C">
        <w:rPr>
          <w:rFonts w:ascii="Calibri" w:hAnsi="Calibri" w:cs="Calibri"/>
          <w:highlight w:val="yellow"/>
        </w:rPr>
        <w:t>Refer to Bundled payments white paper</w:t>
      </w:r>
      <w:r w:rsidR="00042530" w:rsidRPr="06B6D17C">
        <w:rPr>
          <w:rFonts w:ascii="Calibri" w:hAnsi="Calibri" w:cs="Calibri"/>
        </w:rPr>
        <w:t>)</w:t>
      </w:r>
      <w:r w:rsidR="00A633D8" w:rsidRPr="06B6D17C">
        <w:rPr>
          <w:rFonts w:ascii="Calibri" w:hAnsi="Calibri" w:cs="Calibri"/>
        </w:rPr>
        <w:t>.</w:t>
      </w:r>
      <w:r w:rsidR="00D21CC3" w:rsidRPr="06B6D17C">
        <w:rPr>
          <w:rFonts w:ascii="Calibri" w:hAnsi="Calibri" w:cs="Calibri"/>
        </w:rPr>
        <w:t xml:space="preserve"> </w:t>
      </w:r>
      <w:r w:rsidR="00BE7625" w:rsidRPr="06B6D17C">
        <w:rPr>
          <w:rFonts w:ascii="Calibri" w:hAnsi="Calibri" w:cs="Calibri"/>
        </w:rPr>
        <w:t xml:space="preserve">The guide </w:t>
      </w:r>
      <w:r w:rsidR="004F5264" w:rsidRPr="06B6D17C">
        <w:rPr>
          <w:rFonts w:ascii="Calibri" w:hAnsi="Calibri" w:cs="Calibri"/>
        </w:rPr>
        <w:t xml:space="preserve">might also support the </w:t>
      </w:r>
      <w:r w:rsidR="00D757D4" w:rsidRPr="06B6D17C">
        <w:rPr>
          <w:rFonts w:ascii="Calibri" w:hAnsi="Calibri" w:cs="Calibri"/>
        </w:rPr>
        <w:t>p</w:t>
      </w:r>
      <w:r w:rsidRPr="06B6D17C">
        <w:rPr>
          <w:rFonts w:ascii="Calibri" w:hAnsi="Calibri" w:cs="Calibri"/>
        </w:rPr>
        <w:t>ayers designing value-based purchasing arrangements.</w:t>
      </w:r>
      <w:r w:rsidR="004352ED" w:rsidRPr="06B6D17C">
        <w:rPr>
          <w:rFonts w:ascii="Calibri" w:hAnsi="Calibri" w:cs="Calibri"/>
        </w:rPr>
        <w:t xml:space="preserve"> </w:t>
      </w:r>
      <w:r w:rsidR="004D2328" w:rsidRPr="06B6D17C">
        <w:rPr>
          <w:rFonts w:ascii="Calibri" w:hAnsi="Calibri" w:cs="Calibri"/>
        </w:rPr>
        <w:t xml:space="preserve"> Additionally, it will </w:t>
      </w:r>
      <w:r w:rsidR="00527D98" w:rsidRPr="06B6D17C">
        <w:rPr>
          <w:rFonts w:ascii="Calibri" w:hAnsi="Calibri" w:cs="Calibri"/>
        </w:rPr>
        <w:t>support</w:t>
      </w:r>
      <w:r w:rsidRPr="06B6D17C">
        <w:rPr>
          <w:rFonts w:ascii="Calibri" w:hAnsi="Calibri" w:cs="Calibri"/>
        </w:rPr>
        <w:t xml:space="preserve"> CHI</w:t>
      </w:r>
      <w:r w:rsidR="00527D98" w:rsidRPr="06B6D17C">
        <w:rPr>
          <w:rFonts w:ascii="Calibri" w:hAnsi="Calibri" w:cs="Calibri"/>
        </w:rPr>
        <w:t>’s</w:t>
      </w:r>
      <w:r w:rsidRPr="06B6D17C">
        <w:rPr>
          <w:rFonts w:ascii="Calibri" w:hAnsi="Calibri" w:cs="Calibri"/>
        </w:rPr>
        <w:t xml:space="preserve"> internal teams </w:t>
      </w:r>
      <w:r w:rsidR="004B3944" w:rsidRPr="06B6D17C">
        <w:rPr>
          <w:rFonts w:ascii="Calibri" w:hAnsi="Calibri" w:cs="Calibri"/>
        </w:rPr>
        <w:t xml:space="preserve">who </w:t>
      </w:r>
      <w:r w:rsidRPr="06B6D17C">
        <w:rPr>
          <w:rFonts w:ascii="Calibri" w:hAnsi="Calibri" w:cs="Calibri"/>
        </w:rPr>
        <w:t>are responsible for benefit packages, reimbursement models, pricing, contracting oversight, and market enablement. Other stakeholders are involved in a VBC activity, data, quality measurement, and care transformation initiative</w:t>
      </w:r>
      <w:r w:rsidR="00D757D4" w:rsidRPr="06B6D17C">
        <w:rPr>
          <w:rFonts w:ascii="Calibri" w:hAnsi="Calibri" w:cs="Calibri"/>
        </w:rPr>
        <w:t xml:space="preserve"> can also benefit from this guide</w:t>
      </w:r>
      <w:r w:rsidRPr="06B6D17C">
        <w:rPr>
          <w:rFonts w:ascii="Calibri" w:hAnsi="Calibri" w:cs="Calibri"/>
        </w:rPr>
        <w:t>.</w:t>
      </w:r>
    </w:p>
    <w:p w14:paraId="1420C5D8" w14:textId="77777777" w:rsidR="00F200AB" w:rsidRPr="00E43E9B" w:rsidRDefault="00F200AB" w:rsidP="009A7569">
      <w:pPr>
        <w:spacing w:after="0" w:line="240" w:lineRule="auto"/>
        <w:rPr>
          <w:rFonts w:ascii="Calibri" w:hAnsi="Calibri" w:cs="Calibri"/>
        </w:rPr>
      </w:pPr>
    </w:p>
    <w:p w14:paraId="120FF768" w14:textId="6626625E" w:rsidR="52FF71C3" w:rsidRDefault="484EA5FE" w:rsidP="2CD5189A">
      <w:pPr>
        <w:spacing w:after="0" w:line="240" w:lineRule="auto"/>
      </w:pPr>
      <w:r w:rsidRPr="4D214098">
        <w:rPr>
          <w:rFonts w:ascii="Calibri" w:eastAsia="Calibri" w:hAnsi="Calibri" w:cs="Calibri"/>
        </w:rPr>
        <w:t>The core objective of value-based contracting is to enable standardized monitoring of quality, outcomes, and sustainability metrics, thereby supporting policy evaluation, system learning, and continuous improvement within the private healthcare sector.</w:t>
      </w:r>
    </w:p>
    <w:p w14:paraId="0BD95F40" w14:textId="77777777" w:rsidR="2CD5189A" w:rsidRDefault="2CD5189A" w:rsidP="2CD5189A">
      <w:pPr>
        <w:spacing w:after="0" w:line="240" w:lineRule="auto"/>
        <w:rPr>
          <w:rFonts w:ascii="Calibri" w:hAnsi="Calibri" w:cs="Calibri"/>
          <w:b/>
          <w:bCs/>
          <w:highlight w:val="yellow"/>
        </w:rPr>
      </w:pPr>
    </w:p>
    <w:p w14:paraId="3CF427A1" w14:textId="3A95FD45" w:rsidR="00033F4D" w:rsidRDefault="52FF71C3" w:rsidP="2CD5189A">
      <w:pPr>
        <w:spacing w:after="0" w:line="240" w:lineRule="auto"/>
        <w:rPr>
          <w:rFonts w:ascii="Calibri" w:hAnsi="Calibri" w:cs="Calibri"/>
        </w:rPr>
      </w:pPr>
      <w:r>
        <w:rPr>
          <w:noProof/>
        </w:rPr>
        <w:lastRenderedPageBreak/>
        <w:drawing>
          <wp:inline distT="0" distB="0" distL="0" distR="0" wp14:anchorId="1B42C404" wp14:editId="7EC6B537">
            <wp:extent cx="3889094" cy="1510082"/>
            <wp:effectExtent l="0" t="0" r="0" b="0"/>
            <wp:docPr id="165937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3245" name=""/>
                    <pic:cNvPicPr/>
                  </pic:nvPicPr>
                  <pic:blipFill>
                    <a:blip r:embed="rId11"/>
                    <a:stretch>
                      <a:fillRect/>
                    </a:stretch>
                  </pic:blipFill>
                  <pic:spPr>
                    <a:xfrm>
                      <a:off x="0" y="0"/>
                      <a:ext cx="3899648" cy="1514180"/>
                    </a:xfrm>
                    <a:prstGeom prst="rect">
                      <a:avLst/>
                    </a:prstGeom>
                  </pic:spPr>
                </pic:pic>
              </a:graphicData>
            </a:graphic>
          </wp:inline>
        </w:drawing>
      </w:r>
    </w:p>
    <w:p w14:paraId="2A4219EF" w14:textId="17343783" w:rsidR="2CD5189A" w:rsidRDefault="2CD5189A" w:rsidP="2CD5189A">
      <w:pPr>
        <w:spacing w:after="0" w:line="240" w:lineRule="auto"/>
        <w:rPr>
          <w:rFonts w:ascii="Calibri" w:hAnsi="Calibri" w:cs="Calibri"/>
        </w:rPr>
      </w:pPr>
    </w:p>
    <w:p w14:paraId="10F5F8A3" w14:textId="77777777" w:rsidR="009A7569" w:rsidRPr="00E43E9B" w:rsidRDefault="009A7569" w:rsidP="009A7569">
      <w:pPr>
        <w:spacing w:after="0" w:line="240" w:lineRule="auto"/>
        <w:rPr>
          <w:rFonts w:ascii="Calibri" w:hAnsi="Calibri" w:cs="Calibri"/>
        </w:rPr>
      </w:pPr>
    </w:p>
    <w:p w14:paraId="6E4D90EF" w14:textId="7B05842F" w:rsidR="009A7569" w:rsidRPr="00E43E9B" w:rsidRDefault="009A7569" w:rsidP="009A7569">
      <w:pPr>
        <w:pStyle w:val="Heading2"/>
        <w:spacing w:before="0" w:after="0" w:line="240" w:lineRule="auto"/>
        <w:rPr>
          <w:rFonts w:ascii="Calibri" w:hAnsi="Calibri" w:cs="Calibri"/>
        </w:rPr>
      </w:pPr>
      <w:bookmarkStart w:id="3" w:name="_Toc219208376"/>
      <w:r w:rsidRPr="00E43E9B">
        <w:rPr>
          <w:rFonts w:ascii="Calibri" w:hAnsi="Calibri" w:cs="Calibri"/>
        </w:rPr>
        <w:t>1.2 Policy Context and Market Readiness</w:t>
      </w:r>
      <w:bookmarkEnd w:id="3"/>
    </w:p>
    <w:p w14:paraId="2B864CD2" w14:textId="77777777" w:rsidR="0009721B" w:rsidRPr="00E43E9B" w:rsidRDefault="0009721B" w:rsidP="0009721B">
      <w:pPr>
        <w:rPr>
          <w:rFonts w:ascii="Calibri" w:hAnsi="Calibri" w:cs="Calibri"/>
        </w:rPr>
      </w:pPr>
    </w:p>
    <w:p w14:paraId="4187E7F2" w14:textId="47EF10C5" w:rsidR="0009721B" w:rsidRPr="00E43E9B" w:rsidRDefault="0009721B" w:rsidP="0009721B">
      <w:pPr>
        <w:spacing w:after="0" w:line="240" w:lineRule="auto"/>
        <w:rPr>
          <w:rFonts w:ascii="Calibri" w:hAnsi="Calibri" w:cs="Calibri"/>
        </w:rPr>
      </w:pPr>
      <w:r w:rsidRPr="00E43E9B">
        <w:rPr>
          <w:rFonts w:ascii="Calibri" w:hAnsi="Calibri" w:cs="Calibri"/>
        </w:rPr>
        <w:t xml:space="preserve">Value-based contracting is defined as a contractual arrangement in which provider remuneration is explicitly and materially linked to performance on predefined health outcomes, quality indicators, and cost-efficiency metrics, rather than service volume alone. This definition aligns with foundational value-based healthcare literature emphasizing outcomes relative to costs over the full care cycle </w:t>
      </w:r>
      <w:r w:rsidRPr="00E43E9B">
        <w:rPr>
          <w:rFonts w:ascii="Calibri" w:hAnsi="Calibri" w:cs="Calibri"/>
        </w:rPr>
        <w:fldChar w:fldCharType="begin"/>
      </w:r>
      <w:r w:rsidRPr="00E43E9B">
        <w:rPr>
          <w:rFonts w:ascii="Calibri" w:hAnsi="Calibri" w:cs="Calibri"/>
        </w:rPr>
        <w:instrText xml:space="preserve"> ADDIN EN.CITE &lt;EndNote&gt;&lt;Cite&gt;&lt;Author&gt;Porter&lt;/Author&gt;&lt;Year&gt;2006&lt;/Year&gt;&lt;RecNum&gt;219&lt;/RecNum&gt;&lt;DisplayText&gt;(1, 2)&lt;/DisplayText&gt;&lt;record&gt;&lt;rec-number&gt;219&lt;/rec-number&gt;&lt;foreign-keys&gt;&lt;key app="EN" db-id="x5azpz5pk0etf2ee5dwxsfp8t5z5zsw9rvvt" timestamp="1729890170"&gt;219&lt;/key&gt;&lt;/foreign-keys&gt;&lt;ref-type name="Book"&gt;6&lt;/ref-type&gt;&lt;contributors&gt;&lt;authors&gt;&lt;author&gt;Porter, ME&lt;/author&gt;&lt;/authors&gt;&lt;/contributors&gt;&lt;titles&gt;&lt;title&gt;Redefining health care: creating value-based competition on results&lt;/title&gt;&lt;/titles&gt;&lt;dates&gt;&lt;year&gt;2006&lt;/year&gt;&lt;/dates&gt;&lt;publisher&gt;Harvard Business Press&lt;/publisher&gt;&lt;urls&gt;&lt;/urls&gt;&lt;/record&gt;&lt;/Cite&gt;&lt;Cite&gt;&lt;Author&gt;Porter&lt;/Author&gt;&lt;Year&gt;2010&lt;/Year&gt;&lt;RecNum&gt;321&lt;/RecNum&gt;&lt;record&gt;&lt;rec-number&gt;321&lt;/rec-number&gt;&lt;foreign-keys&gt;&lt;key app="EN" db-id="x5azpz5pk0etf2ee5dwxsfp8t5z5zsw9rvvt" timestamp="1765604964"&gt;321&lt;/key&gt;&lt;/foreign-keys&gt;&lt;ref-type name="Journal Article"&gt;17&lt;/ref-type&gt;&lt;contributors&gt;&lt;authors&gt;&lt;author&gt;Porter, M. E.&lt;/author&gt;&lt;/authors&gt;&lt;/contributors&gt;&lt;auth-address&gt;Harvard Business School, Boston, USA.&lt;/auth-address&gt;&lt;titles&gt;&lt;title&gt;What is value in health care?&lt;/title&gt;&lt;secondary-title&gt;N Engl J Med&lt;/secondary-title&gt;&lt;/titles&gt;&lt;periodical&gt;&lt;full-title&gt;N Engl J Med&lt;/full-title&gt;&lt;/periodical&gt;&lt;pages&gt;2477-81&lt;/pages&gt;&lt;volume&gt;363&lt;/volume&gt;&lt;number&gt;26&lt;/number&gt;&lt;edition&gt;20101208&lt;/edition&gt;&lt;keywords&gt;&lt;keyword&gt;Breast Neoplasms/therapy&lt;/keyword&gt;&lt;keyword&gt;*Delivery of Health Care/economics/standards&lt;/keyword&gt;&lt;keyword&gt;Efficiency, Organizational&lt;/keyword&gt;&lt;keyword&gt;Female&lt;/keyword&gt;&lt;keyword&gt;*Health Care Costs&lt;/keyword&gt;&lt;keyword&gt;Health Status&lt;/keyword&gt;&lt;keyword&gt;Humans&lt;/keyword&gt;&lt;keyword&gt;Osteoarthritis, Knee/therapy&lt;/keyword&gt;&lt;keyword&gt;*Outcome Assessment, Health Care&lt;/keyword&gt;&lt;keyword&gt;*Quality of Health Care&lt;/keyword&gt;&lt;/keywords&gt;&lt;dates&gt;&lt;year&gt;2010&lt;/year&gt;&lt;pub-dates&gt;&lt;date&gt;Dec 23&lt;/date&gt;&lt;/pub-dates&gt;&lt;/dates&gt;&lt;isbn&gt;0028-4793&lt;/isbn&gt;&lt;accession-num&gt;21142528&lt;/accession-num&gt;&lt;urls&gt;&lt;/urls&gt;&lt;electronic-resource-num&gt;10.1056/NEJMp1011024&lt;/electronic-resource-num&gt;&lt;remote-database-provider&gt;NLM&lt;/remote-database-provider&gt;&lt;language&gt;eng&lt;/language&gt;&lt;/record&gt;&lt;/Cite&gt;&lt;/EndNote&gt;</w:instrText>
      </w:r>
      <w:r w:rsidRPr="00E43E9B">
        <w:rPr>
          <w:rFonts w:ascii="Calibri" w:hAnsi="Calibri" w:cs="Calibri"/>
        </w:rPr>
        <w:fldChar w:fldCharType="separate"/>
      </w:r>
      <w:r w:rsidRPr="00E43E9B">
        <w:rPr>
          <w:rFonts w:ascii="Calibri" w:hAnsi="Calibri" w:cs="Calibri"/>
          <w:noProof/>
        </w:rPr>
        <w:t>(1, 2)</w:t>
      </w:r>
      <w:r w:rsidRPr="00E43E9B">
        <w:rPr>
          <w:rFonts w:ascii="Calibri" w:hAnsi="Calibri" w:cs="Calibri"/>
        </w:rPr>
        <w:fldChar w:fldCharType="end"/>
      </w:r>
      <w:r w:rsidRPr="00E43E9B">
        <w:rPr>
          <w:rFonts w:ascii="Calibri" w:hAnsi="Calibri" w:cs="Calibri"/>
        </w:rPr>
        <w:t>.</w:t>
      </w:r>
    </w:p>
    <w:p w14:paraId="069E79C1" w14:textId="77777777" w:rsidR="00980CFE" w:rsidRPr="00E43E9B" w:rsidRDefault="009A7569" w:rsidP="009A7569">
      <w:pPr>
        <w:spacing w:after="0" w:line="240" w:lineRule="auto"/>
        <w:rPr>
          <w:rFonts w:ascii="Calibri" w:hAnsi="Calibri" w:cs="Calibri"/>
        </w:rPr>
      </w:pPr>
      <w:r w:rsidRPr="00E43E9B">
        <w:rPr>
          <w:rFonts w:ascii="Calibri" w:hAnsi="Calibri" w:cs="Calibri"/>
        </w:rPr>
        <w:t>As part of its strategic initiatives, CHI has initiated and supported contracting efforts across seven priority bundled payment areas, creating an initial platform for value-based payment implementation in the private health sector. These bundles represent high-volume and/or high-cost services where clinical pathways are sufficiently defined, outcomes can be meaningfully measured, and variability in cost and practice patterns presents opportunities for improvement.</w:t>
      </w:r>
      <w:r w:rsidR="00980CFE" w:rsidRPr="00E43E9B">
        <w:rPr>
          <w:rFonts w:ascii="Calibri" w:hAnsi="Calibri" w:cs="Calibri"/>
        </w:rPr>
        <w:t xml:space="preserve"> </w:t>
      </w:r>
    </w:p>
    <w:p w14:paraId="6629CEDB" w14:textId="15E54D36" w:rsidR="00F7117F" w:rsidRPr="00E43E9B" w:rsidRDefault="009A7569" w:rsidP="00F7117F">
      <w:pPr>
        <w:spacing w:after="0" w:line="240" w:lineRule="auto"/>
        <w:rPr>
          <w:rFonts w:ascii="Calibri" w:hAnsi="Calibri" w:cs="Calibri"/>
        </w:rPr>
      </w:pPr>
      <w:r w:rsidRPr="00E43E9B">
        <w:rPr>
          <w:rFonts w:ascii="Calibri" w:hAnsi="Calibri" w:cs="Calibri"/>
        </w:rPr>
        <w:t xml:space="preserve">The introduction of bundled payments marks an essential first step toward value-based payment. However, without explicit linkage to quality and outcome measures, bundled payments alone remain primarily a reimbursement mechanism rather than a complete value-based contracting model. </w:t>
      </w:r>
      <w:r w:rsidR="00F7117F" w:rsidRPr="00E43E9B">
        <w:rPr>
          <w:rFonts w:ascii="Calibri" w:hAnsi="Calibri" w:cs="Calibri"/>
        </w:rPr>
        <w:t xml:space="preserve">That said, </w:t>
      </w:r>
      <w:r w:rsidR="00F7117F" w:rsidRPr="00D65CFA">
        <w:rPr>
          <w:rFonts w:ascii="Calibri" w:hAnsi="Calibri" w:cs="Calibri"/>
        </w:rPr>
        <w:t xml:space="preserve">Contracts that rely solely on fixed prices or bundled reimbursement without outcome-linked financial consequences are classified as </w:t>
      </w:r>
      <w:r w:rsidR="00F7117F" w:rsidRPr="00D65CFA">
        <w:rPr>
          <w:rStyle w:val="Strong"/>
          <w:rFonts w:ascii="Calibri" w:hAnsi="Calibri" w:cs="Calibri"/>
        </w:rPr>
        <w:t>advanced reimbursement models</w:t>
      </w:r>
      <w:r w:rsidR="00F7117F" w:rsidRPr="00D65CFA">
        <w:rPr>
          <w:rFonts w:ascii="Calibri" w:hAnsi="Calibri" w:cs="Calibri"/>
        </w:rPr>
        <w:t>, not full value-based contracts</w:t>
      </w:r>
      <w:r w:rsidR="00D65CFA">
        <w:rPr>
          <w:rFonts w:ascii="Calibri" w:hAnsi="Calibri" w:cs="Calibri"/>
        </w:rPr>
        <w:t xml:space="preserve"> </w:t>
      </w:r>
      <w:r w:rsidR="00D65CFA" w:rsidRPr="00D65CFA">
        <w:rPr>
          <w:rFonts w:ascii="Calibri" w:hAnsi="Calibri" w:cs="Calibri"/>
          <w:highlight w:val="yellow"/>
        </w:rPr>
        <w:t>(2-3)</w:t>
      </w:r>
      <w:r w:rsidR="00F7117F" w:rsidRPr="00D65CFA">
        <w:rPr>
          <w:rFonts w:ascii="Calibri" w:hAnsi="Calibri" w:cs="Calibri"/>
          <w:highlight w:val="yellow"/>
        </w:rPr>
        <w:t>.</w:t>
      </w:r>
    </w:p>
    <w:p w14:paraId="71B9899D" w14:textId="6CF1A3CA" w:rsidR="00F7117F" w:rsidRPr="00E43E9B" w:rsidRDefault="00F7117F" w:rsidP="009A7569">
      <w:pPr>
        <w:spacing w:after="0" w:line="240" w:lineRule="auto"/>
        <w:rPr>
          <w:rFonts w:ascii="Calibri" w:hAnsi="Calibri" w:cs="Calibri"/>
        </w:rPr>
      </w:pPr>
    </w:p>
    <w:p w14:paraId="7DA5ACD4" w14:textId="77A78C2D" w:rsidR="009A7569" w:rsidRDefault="009A7569" w:rsidP="009A7569">
      <w:pPr>
        <w:spacing w:after="0" w:line="240" w:lineRule="auto"/>
        <w:rPr>
          <w:rFonts w:ascii="Calibri" w:hAnsi="Calibri" w:cs="Calibri"/>
        </w:rPr>
      </w:pPr>
      <w:r w:rsidRPr="00E43E9B">
        <w:rPr>
          <w:rFonts w:ascii="Calibri" w:hAnsi="Calibri" w:cs="Calibri"/>
        </w:rPr>
        <w:t>These guidelines aim to bridge that gap by outlining how outcome measurement, risk adjustment, and incentive design can be systematically integrated into bundle-based contracts.</w:t>
      </w:r>
    </w:p>
    <w:p w14:paraId="19A45483" w14:textId="77777777" w:rsidR="00C0674E" w:rsidRDefault="00C0674E" w:rsidP="009A7569">
      <w:pPr>
        <w:spacing w:after="0" w:line="240" w:lineRule="auto"/>
        <w:rPr>
          <w:rFonts w:ascii="Calibri" w:hAnsi="Calibri" w:cs="Calibri"/>
        </w:rPr>
      </w:pPr>
    </w:p>
    <w:p w14:paraId="671F1D2D" w14:textId="6B999202" w:rsidR="00C0674E" w:rsidRPr="00E43E9B" w:rsidRDefault="00C0674E" w:rsidP="009A7569">
      <w:pPr>
        <w:spacing w:after="0" w:line="240" w:lineRule="auto"/>
        <w:rPr>
          <w:rFonts w:ascii="Calibri" w:hAnsi="Calibri" w:cs="Calibri"/>
        </w:rPr>
      </w:pPr>
      <w:r w:rsidRPr="00C0674E">
        <w:rPr>
          <w:rFonts w:ascii="Calibri" w:hAnsi="Calibri" w:cs="Calibri"/>
          <w:noProof/>
        </w:rPr>
        <w:drawing>
          <wp:inline distT="0" distB="0" distL="0" distR="0" wp14:anchorId="7D83452B" wp14:editId="673FB0D8">
            <wp:extent cx="6301105" cy="779780"/>
            <wp:effectExtent l="0" t="0" r="4445" b="1270"/>
            <wp:docPr id="97502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28212" name=""/>
                    <pic:cNvPicPr/>
                  </pic:nvPicPr>
                  <pic:blipFill>
                    <a:blip r:embed="rId12"/>
                    <a:stretch>
                      <a:fillRect/>
                    </a:stretch>
                  </pic:blipFill>
                  <pic:spPr>
                    <a:xfrm>
                      <a:off x="0" y="0"/>
                      <a:ext cx="6301105" cy="779780"/>
                    </a:xfrm>
                    <a:prstGeom prst="rect">
                      <a:avLst/>
                    </a:prstGeom>
                  </pic:spPr>
                </pic:pic>
              </a:graphicData>
            </a:graphic>
          </wp:inline>
        </w:drawing>
      </w:r>
    </w:p>
    <w:p w14:paraId="57E439E0" w14:textId="77777777" w:rsidR="009A7569" w:rsidRPr="00E43E9B" w:rsidRDefault="009A7569" w:rsidP="009A7569">
      <w:pPr>
        <w:spacing w:after="0" w:line="240" w:lineRule="auto"/>
        <w:rPr>
          <w:rFonts w:ascii="Calibri" w:hAnsi="Calibri" w:cs="Calibri"/>
        </w:rPr>
      </w:pPr>
    </w:p>
    <w:p w14:paraId="6608706D" w14:textId="16CCF8B3" w:rsidR="009A7569" w:rsidRPr="00E43E9B" w:rsidRDefault="00FC1023" w:rsidP="00DE5532">
      <w:pPr>
        <w:pStyle w:val="Heading2"/>
        <w:numPr>
          <w:ilvl w:val="1"/>
          <w:numId w:val="4"/>
        </w:numPr>
        <w:spacing w:before="0" w:after="0" w:line="240" w:lineRule="auto"/>
        <w:rPr>
          <w:rFonts w:ascii="Calibri" w:hAnsi="Calibri" w:cs="Calibri"/>
        </w:rPr>
      </w:pPr>
      <w:r w:rsidRPr="00E43E9B">
        <w:rPr>
          <w:rFonts w:ascii="Calibri" w:hAnsi="Calibri" w:cs="Calibri"/>
        </w:rPr>
        <w:t xml:space="preserve"> </w:t>
      </w:r>
      <w:bookmarkStart w:id="4" w:name="_Toc219208377"/>
      <w:r w:rsidR="009A7569" w:rsidRPr="00E43E9B">
        <w:rPr>
          <w:rFonts w:ascii="Calibri" w:hAnsi="Calibri" w:cs="Calibri"/>
        </w:rPr>
        <w:t>Scope of the Guidelines</w:t>
      </w:r>
      <w:bookmarkEnd w:id="4"/>
    </w:p>
    <w:p w14:paraId="19755E68" w14:textId="0486FC16" w:rsidR="3A8A1B78" w:rsidRDefault="3A8A1B78" w:rsidP="2ABCB55E">
      <w:pPr>
        <w:spacing w:after="0"/>
      </w:pPr>
      <w:r w:rsidRPr="2ABCB55E">
        <w:rPr>
          <w:rFonts w:ascii="Calibri" w:eastAsia="Calibri" w:hAnsi="Calibri" w:cs="Calibri"/>
        </w:rPr>
        <w:t xml:space="preserve">These guidelines apply to value-based contracting arrangements implemented within the Saudi private healthcare market under CHI’s regulatory oversight, with an initial focus on bundled payment contracts covering </w:t>
      </w:r>
      <w:proofErr w:type="gramStart"/>
      <w:r w:rsidRPr="2ABCB55E">
        <w:rPr>
          <w:rFonts w:ascii="Calibri" w:eastAsia="Calibri" w:hAnsi="Calibri" w:cs="Calibri"/>
        </w:rPr>
        <w:t>either 1</w:t>
      </w:r>
      <w:proofErr w:type="gramEnd"/>
      <w:r w:rsidRPr="2ABCB55E">
        <w:rPr>
          <w:rFonts w:ascii="Calibri" w:eastAsia="Calibri" w:hAnsi="Calibri" w:cs="Calibri"/>
        </w:rPr>
        <w:t>. Procedural bundles (e.g. surgical episodes) are episode-based, time-</w:t>
      </w:r>
      <w:r w:rsidRPr="2ABCB55E">
        <w:rPr>
          <w:rFonts w:ascii="Calibri" w:eastAsia="Calibri" w:hAnsi="Calibri" w:cs="Calibri"/>
        </w:rPr>
        <w:lastRenderedPageBreak/>
        <w:t>limited arrangements, or 2. a condition-based longitudinal bundle, such as the Diabetes Management program, represents distinct attributes, outcome measurement, and settlement characteristics.</w:t>
      </w:r>
    </w:p>
    <w:p w14:paraId="1E93F214" w14:textId="1DCE0C22" w:rsidR="3A8A1B78" w:rsidRDefault="3A8A1B78" w:rsidP="2ABCB55E">
      <w:pPr>
        <w:spacing w:after="0"/>
      </w:pPr>
      <w:r w:rsidRPr="2ABCB55E">
        <w:rPr>
          <w:rFonts w:ascii="Calibri" w:eastAsia="Calibri" w:hAnsi="Calibri" w:cs="Calibri"/>
          <w:b/>
          <w:bCs/>
        </w:rPr>
        <w:t xml:space="preserve"> </w:t>
      </w:r>
    </w:p>
    <w:p w14:paraId="7FEC6015" w14:textId="3ED33479" w:rsidR="3A8A1B78" w:rsidRDefault="3A8A1B78" w:rsidP="2ABCB55E">
      <w:pPr>
        <w:spacing w:after="0"/>
      </w:pPr>
      <w:r w:rsidRPr="2ABCB55E">
        <w:rPr>
          <w:rFonts w:ascii="Calibri" w:eastAsia="Calibri" w:hAnsi="Calibri" w:cs="Calibri"/>
          <w:b/>
          <w:bCs/>
        </w:rPr>
        <w:t>The seven CHI-supported clinical areas</w:t>
      </w:r>
      <w:r w:rsidRPr="2ABCB55E">
        <w:rPr>
          <w:rFonts w:ascii="Calibri" w:eastAsia="Calibri" w:hAnsi="Calibri" w:cs="Calibri"/>
          <w:b/>
          <w:bCs/>
          <w:u w:val="single"/>
        </w:rPr>
        <w:t>:</w:t>
      </w:r>
    </w:p>
    <w:p w14:paraId="33787015" w14:textId="1C0A3E48" w:rsidR="009A7569" w:rsidRDefault="00DE7A9F" w:rsidP="00DE5532">
      <w:pPr>
        <w:pStyle w:val="ListParagraph"/>
        <w:numPr>
          <w:ilvl w:val="0"/>
          <w:numId w:val="22"/>
        </w:numPr>
        <w:spacing w:after="0"/>
        <w:rPr>
          <w:rFonts w:ascii="Calibri" w:eastAsia="Calibri" w:hAnsi="Calibri" w:cs="Calibri"/>
        </w:rPr>
      </w:pPr>
      <w:r w:rsidRPr="2ABCB55E">
        <w:rPr>
          <w:rFonts w:ascii="Calibri" w:eastAsia="Calibri" w:hAnsi="Calibri" w:cs="Calibri"/>
        </w:rPr>
        <w:t>Laparoscopic Cholecystectomy</w:t>
      </w:r>
    </w:p>
    <w:p w14:paraId="115A8ACC" w14:textId="411A38CA" w:rsidR="009A7569" w:rsidRDefault="00DE7A9F" w:rsidP="00DE5532">
      <w:pPr>
        <w:pStyle w:val="ListParagraph"/>
        <w:numPr>
          <w:ilvl w:val="0"/>
          <w:numId w:val="22"/>
        </w:numPr>
        <w:spacing w:after="0"/>
        <w:rPr>
          <w:rFonts w:ascii="Calibri" w:eastAsia="Calibri" w:hAnsi="Calibri" w:cs="Calibri"/>
        </w:rPr>
      </w:pPr>
      <w:r w:rsidRPr="2ABCB55E">
        <w:rPr>
          <w:rFonts w:ascii="Calibri" w:eastAsia="Calibri" w:hAnsi="Calibri" w:cs="Calibri"/>
        </w:rPr>
        <w:t>Total Knee Replacement</w:t>
      </w:r>
    </w:p>
    <w:p w14:paraId="1A616BA4" w14:textId="149A3D46" w:rsidR="009A7569" w:rsidRDefault="00DE7A9F" w:rsidP="00DE5532">
      <w:pPr>
        <w:pStyle w:val="ListParagraph"/>
        <w:numPr>
          <w:ilvl w:val="0"/>
          <w:numId w:val="22"/>
        </w:numPr>
        <w:spacing w:after="0"/>
        <w:rPr>
          <w:rFonts w:ascii="Calibri" w:eastAsia="Calibri" w:hAnsi="Calibri" w:cs="Calibri"/>
        </w:rPr>
      </w:pPr>
      <w:r w:rsidRPr="2ABCB55E">
        <w:rPr>
          <w:rFonts w:ascii="Calibri" w:eastAsia="Calibri" w:hAnsi="Calibri" w:cs="Calibri"/>
        </w:rPr>
        <w:t>Tonsillectomy with Adenoidectomy</w:t>
      </w:r>
    </w:p>
    <w:p w14:paraId="3B3CCAA1" w14:textId="67B105D4" w:rsidR="009A7569" w:rsidRDefault="00DE7A9F" w:rsidP="00DE5532">
      <w:pPr>
        <w:pStyle w:val="ListParagraph"/>
        <w:numPr>
          <w:ilvl w:val="0"/>
          <w:numId w:val="22"/>
        </w:numPr>
        <w:spacing w:after="0"/>
        <w:rPr>
          <w:rFonts w:ascii="Calibri" w:eastAsia="Calibri" w:hAnsi="Calibri" w:cs="Calibri"/>
        </w:rPr>
      </w:pPr>
      <w:r w:rsidRPr="2ABCB55E">
        <w:rPr>
          <w:rFonts w:ascii="Calibri" w:eastAsia="Calibri" w:hAnsi="Calibri" w:cs="Calibri"/>
        </w:rPr>
        <w:t>Spinal Fusion</w:t>
      </w:r>
    </w:p>
    <w:p w14:paraId="7089AD23" w14:textId="4CBEA115" w:rsidR="009A7569" w:rsidRDefault="00DE7A9F" w:rsidP="00DE5532">
      <w:pPr>
        <w:pStyle w:val="ListParagraph"/>
        <w:numPr>
          <w:ilvl w:val="0"/>
          <w:numId w:val="22"/>
        </w:numPr>
        <w:spacing w:after="0"/>
        <w:rPr>
          <w:rFonts w:ascii="Calibri" w:eastAsia="Calibri" w:hAnsi="Calibri" w:cs="Calibri"/>
        </w:rPr>
      </w:pPr>
      <w:r w:rsidRPr="2ABCB55E">
        <w:rPr>
          <w:rFonts w:ascii="Calibri" w:eastAsia="Calibri" w:hAnsi="Calibri" w:cs="Calibri"/>
        </w:rPr>
        <w:t>Laparoscopic Sleeve Gastrectomy</w:t>
      </w:r>
    </w:p>
    <w:p w14:paraId="4F23F484" w14:textId="4C1FABB5" w:rsidR="009A7569" w:rsidRDefault="00DE7A9F" w:rsidP="00DE5532">
      <w:pPr>
        <w:pStyle w:val="ListParagraph"/>
        <w:numPr>
          <w:ilvl w:val="0"/>
          <w:numId w:val="22"/>
        </w:numPr>
        <w:spacing w:after="0"/>
        <w:rPr>
          <w:rFonts w:ascii="Calibri" w:eastAsia="Calibri" w:hAnsi="Calibri" w:cs="Calibri"/>
        </w:rPr>
      </w:pPr>
      <w:r w:rsidRPr="2ABCB55E">
        <w:rPr>
          <w:rFonts w:ascii="Calibri" w:eastAsia="Calibri" w:hAnsi="Calibri" w:cs="Calibri"/>
        </w:rPr>
        <w:t xml:space="preserve">Pregnancy and </w:t>
      </w:r>
      <w:r w:rsidR="6294DB57" w:rsidRPr="2ABCB55E">
        <w:rPr>
          <w:rFonts w:ascii="Calibri" w:eastAsia="Calibri" w:hAnsi="Calibri" w:cs="Calibri"/>
        </w:rPr>
        <w:t>Childbirth</w:t>
      </w:r>
    </w:p>
    <w:p w14:paraId="7E72D6A2" w14:textId="04BBD8BB" w:rsidR="009A7569" w:rsidRDefault="292D7DC3" w:rsidP="00DE5532">
      <w:pPr>
        <w:pStyle w:val="ListParagraph"/>
        <w:numPr>
          <w:ilvl w:val="0"/>
          <w:numId w:val="22"/>
        </w:numPr>
        <w:spacing w:after="0"/>
        <w:rPr>
          <w:rFonts w:ascii="Calibri" w:eastAsia="Calibri" w:hAnsi="Calibri" w:cs="Calibri"/>
        </w:rPr>
      </w:pPr>
      <w:r w:rsidRPr="2ABCB55E">
        <w:rPr>
          <w:rFonts w:ascii="Calibri" w:eastAsia="Calibri" w:hAnsi="Calibri" w:cs="Calibri"/>
        </w:rPr>
        <w:t>Diabetes Management Program</w:t>
      </w:r>
    </w:p>
    <w:p w14:paraId="1B5BDE3A" w14:textId="1C02BFC4" w:rsidR="3A8A1B78" w:rsidRDefault="3A8A1B78" w:rsidP="00DE5532">
      <w:pPr>
        <w:pStyle w:val="ListParagraph"/>
        <w:numPr>
          <w:ilvl w:val="0"/>
          <w:numId w:val="22"/>
        </w:numPr>
        <w:spacing w:after="0"/>
        <w:rPr>
          <w:rFonts w:ascii="Calibri" w:eastAsia="Calibri" w:hAnsi="Calibri" w:cs="Calibri"/>
        </w:rPr>
      </w:pPr>
      <w:r w:rsidRPr="2ABCB55E">
        <w:rPr>
          <w:rFonts w:ascii="Calibri" w:eastAsia="Calibri" w:hAnsi="Calibri" w:cs="Calibri"/>
        </w:rPr>
        <w:t>Other conditions:</w:t>
      </w:r>
      <w:r w:rsidRPr="2ABCB55E">
        <w:rPr>
          <w:rFonts w:ascii="Helvetica" w:eastAsia="Helvetica" w:hAnsi="Helvetica" w:cs="Helvetica"/>
        </w:rPr>
        <w:t xml:space="preserve"> </w:t>
      </w:r>
      <w:r w:rsidRPr="2ABCB55E">
        <w:rPr>
          <w:rFonts w:ascii="Calibri" w:eastAsia="Calibri" w:hAnsi="Calibri" w:cs="Calibri"/>
        </w:rPr>
        <w:t>additional conditions agreed between the payer and provider where the provider is aligned with CHI guidelines.</w:t>
      </w:r>
    </w:p>
    <w:p w14:paraId="17C345B9" w14:textId="11542621" w:rsidR="2ABCB55E" w:rsidRDefault="2ABCB55E" w:rsidP="2ABCB55E">
      <w:pPr>
        <w:spacing w:after="0" w:line="240" w:lineRule="auto"/>
        <w:rPr>
          <w:rFonts w:ascii="Calibri" w:eastAsia="Calibri" w:hAnsi="Calibri" w:cs="Calibri"/>
          <w:highlight w:val="cyan"/>
        </w:rPr>
      </w:pPr>
    </w:p>
    <w:p w14:paraId="6F5C8E96" w14:textId="5C8CDF56" w:rsidR="009A7569" w:rsidRPr="00E43E9B" w:rsidRDefault="009A7569" w:rsidP="4B0CE325">
      <w:pPr>
        <w:spacing w:after="0" w:line="240" w:lineRule="auto"/>
        <w:rPr>
          <w:rFonts w:ascii="Calibri" w:eastAsia="Calibri" w:hAnsi="Calibri" w:cs="Calibri"/>
        </w:rPr>
      </w:pPr>
    </w:p>
    <w:p w14:paraId="156CC33A" w14:textId="59B17398" w:rsidR="009A7569" w:rsidRPr="00E43E9B" w:rsidRDefault="00FC1023" w:rsidP="00FC1023">
      <w:pPr>
        <w:spacing w:after="0" w:line="240" w:lineRule="auto"/>
        <w:rPr>
          <w:rFonts w:ascii="Calibri" w:hAnsi="Calibri" w:cs="Calibri"/>
          <w:b/>
          <w:bCs/>
        </w:rPr>
      </w:pPr>
      <w:r w:rsidRPr="2ABCB55E">
        <w:rPr>
          <w:rFonts w:ascii="Calibri" w:hAnsi="Calibri" w:cs="Calibri"/>
          <w:b/>
          <w:bCs/>
        </w:rPr>
        <w:t xml:space="preserve"> </w:t>
      </w:r>
      <w:r w:rsidR="009A7569" w:rsidRPr="2ABCB55E">
        <w:rPr>
          <w:rFonts w:ascii="Calibri" w:hAnsi="Calibri" w:cs="Calibri"/>
          <w:b/>
          <w:bCs/>
        </w:rPr>
        <w:t>The scope includes guidance on:</w:t>
      </w:r>
    </w:p>
    <w:p w14:paraId="3BC78843" w14:textId="2B153070" w:rsidR="009A7569" w:rsidRPr="00E43E9B" w:rsidRDefault="009A7569" w:rsidP="00DE5532">
      <w:pPr>
        <w:pStyle w:val="ListParagraph"/>
        <w:numPr>
          <w:ilvl w:val="0"/>
          <w:numId w:val="2"/>
        </w:numPr>
        <w:spacing w:after="0" w:line="240" w:lineRule="auto"/>
        <w:rPr>
          <w:rFonts w:ascii="Calibri" w:hAnsi="Calibri" w:cs="Calibri"/>
        </w:rPr>
      </w:pPr>
      <w:r w:rsidRPr="00E43E9B">
        <w:rPr>
          <w:rFonts w:ascii="Calibri" w:hAnsi="Calibri" w:cs="Calibri"/>
        </w:rPr>
        <w:t>Contract design elements for value-based bundles, including outcome measures, quality thresholds, and financial incentives.</w:t>
      </w:r>
    </w:p>
    <w:p w14:paraId="0F34738D" w14:textId="207E5F27" w:rsidR="009A7569" w:rsidRPr="00E43E9B" w:rsidRDefault="009A7569" w:rsidP="00DE5532">
      <w:pPr>
        <w:pStyle w:val="ListParagraph"/>
        <w:numPr>
          <w:ilvl w:val="0"/>
          <w:numId w:val="2"/>
        </w:numPr>
        <w:spacing w:after="0" w:line="240" w:lineRule="auto"/>
        <w:rPr>
          <w:rFonts w:ascii="Calibri" w:hAnsi="Calibri" w:cs="Calibri"/>
        </w:rPr>
      </w:pPr>
      <w:r w:rsidRPr="00E43E9B">
        <w:rPr>
          <w:rFonts w:ascii="Calibri" w:hAnsi="Calibri" w:cs="Calibri"/>
        </w:rPr>
        <w:t>Roles and responsibilities of providers in delivering, measuring, and reporting value.</w:t>
      </w:r>
    </w:p>
    <w:p w14:paraId="71BFB68B" w14:textId="68E7D25E" w:rsidR="009A7569" w:rsidRPr="00E43E9B" w:rsidRDefault="009A7569" w:rsidP="00DE5532">
      <w:pPr>
        <w:pStyle w:val="ListParagraph"/>
        <w:numPr>
          <w:ilvl w:val="0"/>
          <w:numId w:val="2"/>
        </w:numPr>
        <w:spacing w:after="0" w:line="240" w:lineRule="auto"/>
        <w:rPr>
          <w:rFonts w:ascii="Calibri" w:hAnsi="Calibri" w:cs="Calibri"/>
        </w:rPr>
      </w:pPr>
      <w:r w:rsidRPr="00E43E9B">
        <w:rPr>
          <w:rFonts w:ascii="Calibri" w:hAnsi="Calibri" w:cs="Calibri"/>
        </w:rPr>
        <w:t>Governance, data, and operational requirements necessary to support fair and transparent contracting.</w:t>
      </w:r>
    </w:p>
    <w:p w14:paraId="62CAD9D2" w14:textId="77777777" w:rsidR="009A7569" w:rsidRPr="00E43E9B" w:rsidRDefault="009A7569" w:rsidP="00DE5532">
      <w:pPr>
        <w:pStyle w:val="ListParagraph"/>
        <w:numPr>
          <w:ilvl w:val="0"/>
          <w:numId w:val="2"/>
        </w:numPr>
        <w:spacing w:after="0" w:line="240" w:lineRule="auto"/>
        <w:rPr>
          <w:rFonts w:ascii="Calibri" w:hAnsi="Calibri" w:cs="Calibri"/>
        </w:rPr>
      </w:pPr>
      <w:r w:rsidRPr="00E43E9B">
        <w:rPr>
          <w:rFonts w:ascii="Calibri" w:hAnsi="Calibri" w:cs="Calibri"/>
        </w:rPr>
        <w:t>Principles for risk sharing, patient attribution, and performance assessment.</w:t>
      </w:r>
    </w:p>
    <w:p w14:paraId="3A2F5AC5" w14:textId="77777777" w:rsidR="005C6700" w:rsidRDefault="005C6700" w:rsidP="009A7569">
      <w:pPr>
        <w:pStyle w:val="Subtitle"/>
        <w:spacing w:after="0" w:line="240" w:lineRule="auto"/>
        <w:rPr>
          <w:rFonts w:ascii="Calibri" w:hAnsi="Calibri" w:cs="Calibri"/>
        </w:rPr>
      </w:pPr>
    </w:p>
    <w:p w14:paraId="056F467F" w14:textId="6C906053" w:rsidR="6108366E" w:rsidRDefault="6108366E" w:rsidP="4B0CE325">
      <w:pPr>
        <w:rPr>
          <w:rFonts w:ascii="Calibri" w:eastAsia="Calibri" w:hAnsi="Calibri" w:cs="Calibri"/>
        </w:rPr>
      </w:pPr>
      <w:r w:rsidRPr="7D8B9796">
        <w:rPr>
          <w:rFonts w:ascii="Calibri" w:eastAsia="Calibri" w:hAnsi="Calibri" w:cs="Calibri"/>
        </w:rPr>
        <w:t xml:space="preserve">The core principles underpinning value-based contracting are set out in </w:t>
      </w:r>
      <w:r w:rsidRPr="7D8B9796">
        <w:rPr>
          <w:rFonts w:ascii="Calibri" w:eastAsia="Calibri" w:hAnsi="Calibri" w:cs="Calibri"/>
          <w:b/>
          <w:bCs/>
        </w:rPr>
        <w:t>Annex 2</w:t>
      </w:r>
      <w:r w:rsidRPr="7D8B9796">
        <w:rPr>
          <w:rFonts w:ascii="Calibri" w:eastAsia="Calibri" w:hAnsi="Calibri" w:cs="Calibri"/>
        </w:rPr>
        <w:t>.</w:t>
      </w:r>
      <w:r w:rsidR="471BFDD5" w:rsidRPr="24A8D1DB">
        <w:rPr>
          <w:rFonts w:ascii="Calibri" w:eastAsia="Calibri" w:hAnsi="Calibri" w:cs="Calibri"/>
        </w:rPr>
        <w:t xml:space="preserve"> These principles ensure VBC arrangements balance outcome accountability with fairness, transparency, and patient protection, while enabling phased risk adoption that matches provider capability and supports both clinical excellence and financial sustainability.</w:t>
      </w:r>
    </w:p>
    <w:p w14:paraId="023E5EE6" w14:textId="03D7470D" w:rsidR="00846DEB" w:rsidRPr="00846DEB" w:rsidRDefault="002455D3" w:rsidP="00846DEB">
      <w:r w:rsidRPr="002455D3">
        <w:rPr>
          <w:noProof/>
        </w:rPr>
        <w:lastRenderedPageBreak/>
        <w:drawing>
          <wp:inline distT="0" distB="0" distL="0" distR="0" wp14:anchorId="7151745C" wp14:editId="556685E4">
            <wp:extent cx="3408745" cy="2868100"/>
            <wp:effectExtent l="0" t="0" r="1270" b="8890"/>
            <wp:docPr id="116794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44613" name=""/>
                    <pic:cNvPicPr/>
                  </pic:nvPicPr>
                  <pic:blipFill>
                    <a:blip r:embed="rId13"/>
                    <a:stretch>
                      <a:fillRect/>
                    </a:stretch>
                  </pic:blipFill>
                  <pic:spPr>
                    <a:xfrm>
                      <a:off x="0" y="0"/>
                      <a:ext cx="3422905" cy="2880014"/>
                    </a:xfrm>
                    <a:prstGeom prst="rect">
                      <a:avLst/>
                    </a:prstGeom>
                  </pic:spPr>
                </pic:pic>
              </a:graphicData>
            </a:graphic>
          </wp:inline>
        </w:drawing>
      </w:r>
    </w:p>
    <w:p w14:paraId="75F68D2F" w14:textId="77777777" w:rsidR="005C6700" w:rsidRPr="005C6700" w:rsidRDefault="005C6700" w:rsidP="005C6700"/>
    <w:p w14:paraId="1D0FE949" w14:textId="5057DB25" w:rsidR="6D3BC13E" w:rsidRDefault="6D3BC13E" w:rsidP="0DACE1A3">
      <w:pPr>
        <w:pStyle w:val="Heading2"/>
      </w:pPr>
      <w:bookmarkStart w:id="5" w:name="_Toc219208378"/>
      <w:r>
        <w:t xml:space="preserve">1.4 </w:t>
      </w:r>
      <w:r w:rsidR="00C56F10" w:rsidRPr="00C56F10">
        <w:t>Important</w:t>
      </w:r>
      <w:r w:rsidR="00D64B9F" w:rsidRPr="00C56F10">
        <w:t xml:space="preserve"> </w:t>
      </w:r>
      <w:r w:rsidR="00213FFF" w:rsidRPr="00C56F10">
        <w:t>Considerations</w:t>
      </w:r>
      <w:bookmarkEnd w:id="5"/>
      <w:r w:rsidR="00213FFF">
        <w:t xml:space="preserve"> </w:t>
      </w:r>
    </w:p>
    <w:p w14:paraId="68262B26" w14:textId="0BBCAFC9" w:rsidR="009A7569" w:rsidRPr="00E43E9B" w:rsidRDefault="00FE7ACA" w:rsidP="4B0CE325">
      <w:pPr>
        <w:spacing w:after="0" w:line="240" w:lineRule="auto"/>
        <w:rPr>
          <w:rFonts w:ascii="Calibri" w:hAnsi="Calibri" w:cs="Calibri"/>
        </w:rPr>
      </w:pPr>
      <w:r>
        <w:rPr>
          <w:rFonts w:ascii="Calibri" w:hAnsi="Calibri" w:cs="Calibri"/>
        </w:rPr>
        <w:t xml:space="preserve">As this document describes an initial phase of VBC, it is important to </w:t>
      </w:r>
      <w:r w:rsidR="007F22CF">
        <w:rPr>
          <w:rFonts w:ascii="Calibri" w:hAnsi="Calibri" w:cs="Calibri"/>
        </w:rPr>
        <w:t xml:space="preserve">note that this document </w:t>
      </w:r>
      <w:r w:rsidR="009A7569" w:rsidRPr="00E43E9B">
        <w:rPr>
          <w:rFonts w:ascii="Calibri" w:hAnsi="Calibri" w:cs="Calibri"/>
        </w:rPr>
        <w:t>do</w:t>
      </w:r>
      <w:r w:rsidR="007F22CF">
        <w:rPr>
          <w:rFonts w:ascii="Calibri" w:hAnsi="Calibri" w:cs="Calibri"/>
        </w:rPr>
        <w:t>es</w:t>
      </w:r>
      <w:r w:rsidR="009A7569" w:rsidRPr="00E43E9B">
        <w:rPr>
          <w:rFonts w:ascii="Calibri" w:hAnsi="Calibri" w:cs="Calibri"/>
        </w:rPr>
        <w:t xml:space="preserve"> not:</w:t>
      </w:r>
    </w:p>
    <w:p w14:paraId="3CBBD0C6" w14:textId="401026AF" w:rsidR="009A7569" w:rsidRPr="00E43E9B" w:rsidRDefault="009A7569" w:rsidP="00DE5532">
      <w:pPr>
        <w:pStyle w:val="ListParagraph"/>
        <w:numPr>
          <w:ilvl w:val="0"/>
          <w:numId w:val="3"/>
        </w:numPr>
        <w:spacing w:after="0" w:line="240" w:lineRule="auto"/>
        <w:rPr>
          <w:rFonts w:ascii="Calibri" w:hAnsi="Calibri" w:cs="Calibri"/>
        </w:rPr>
      </w:pPr>
      <w:r w:rsidRPr="00E43E9B">
        <w:rPr>
          <w:rFonts w:ascii="Calibri" w:hAnsi="Calibri" w:cs="Calibri"/>
        </w:rPr>
        <w:t>Mandate participation in value-based contracts.</w:t>
      </w:r>
    </w:p>
    <w:p w14:paraId="5191D60A" w14:textId="2CF14C7D" w:rsidR="009A7569" w:rsidRPr="00E43E9B" w:rsidRDefault="009A7569" w:rsidP="00DE5532">
      <w:pPr>
        <w:pStyle w:val="ListParagraph"/>
        <w:numPr>
          <w:ilvl w:val="0"/>
          <w:numId w:val="3"/>
        </w:numPr>
        <w:spacing w:after="0" w:line="240" w:lineRule="auto"/>
        <w:rPr>
          <w:rFonts w:ascii="Calibri" w:hAnsi="Calibri" w:cs="Calibri"/>
        </w:rPr>
      </w:pPr>
      <w:r w:rsidRPr="00E43E9B">
        <w:rPr>
          <w:rFonts w:ascii="Calibri" w:hAnsi="Calibri" w:cs="Calibri"/>
        </w:rPr>
        <w:t>Prescribe specific commercial terms, prices, or sharing ratios.</w:t>
      </w:r>
    </w:p>
    <w:p w14:paraId="71F8E3E4" w14:textId="09C67D0F" w:rsidR="009A7569" w:rsidRPr="00E43E9B" w:rsidRDefault="009A7569" w:rsidP="00DE5532">
      <w:pPr>
        <w:pStyle w:val="ListParagraph"/>
        <w:numPr>
          <w:ilvl w:val="0"/>
          <w:numId w:val="3"/>
        </w:numPr>
        <w:spacing w:after="0" w:line="240" w:lineRule="auto"/>
        <w:rPr>
          <w:rFonts w:ascii="Calibri" w:hAnsi="Calibri" w:cs="Calibri"/>
        </w:rPr>
      </w:pPr>
      <w:r w:rsidRPr="00E43E9B">
        <w:rPr>
          <w:rFonts w:ascii="Calibri" w:hAnsi="Calibri" w:cs="Calibri"/>
        </w:rPr>
        <w:t>Replace existing CHI regulations, benefit package requirements, or pricing policies.</w:t>
      </w:r>
    </w:p>
    <w:p w14:paraId="14FE39CC" w14:textId="144A5B58" w:rsidR="009A7569" w:rsidRDefault="009A7569" w:rsidP="00DE5532">
      <w:pPr>
        <w:pStyle w:val="ListParagraph"/>
        <w:numPr>
          <w:ilvl w:val="0"/>
          <w:numId w:val="3"/>
        </w:numPr>
        <w:spacing w:after="0" w:line="240" w:lineRule="auto"/>
        <w:rPr>
          <w:rFonts w:ascii="Calibri" w:hAnsi="Calibri" w:cs="Calibri"/>
        </w:rPr>
      </w:pPr>
      <w:r w:rsidRPr="00E43E9B">
        <w:rPr>
          <w:rFonts w:ascii="Calibri" w:hAnsi="Calibri" w:cs="Calibri"/>
        </w:rPr>
        <w:t>Apply to public-sector funding mechanisms unless explicitly stated in future policy updates.</w:t>
      </w:r>
    </w:p>
    <w:p w14:paraId="2D5AC7AA" w14:textId="77777777" w:rsidR="00C03DFD" w:rsidRPr="00E43E9B" w:rsidRDefault="00C03DFD" w:rsidP="00C03DFD">
      <w:pPr>
        <w:pStyle w:val="ListParagraph"/>
        <w:spacing w:after="0" w:line="240" w:lineRule="auto"/>
        <w:rPr>
          <w:rFonts w:ascii="Calibri" w:hAnsi="Calibri" w:cs="Calibri"/>
        </w:rPr>
      </w:pPr>
    </w:p>
    <w:p w14:paraId="683F08EE" w14:textId="055C8A08" w:rsidR="009A7569" w:rsidRPr="00E43E9B" w:rsidRDefault="009A7569" w:rsidP="009A7569">
      <w:pPr>
        <w:spacing w:after="0" w:line="240" w:lineRule="auto"/>
        <w:rPr>
          <w:rFonts w:ascii="Calibri" w:hAnsi="Calibri" w:cs="Calibri"/>
        </w:rPr>
      </w:pPr>
      <w:r w:rsidRPr="00E43E9B">
        <w:rPr>
          <w:rFonts w:ascii="Calibri" w:hAnsi="Calibri" w:cs="Calibri"/>
        </w:rPr>
        <w:t>Instead, the guidelines are intended as a reference and enabling framework, supporting voluntary and phased adoption of value-based contracting models aligned with market readiness.</w:t>
      </w:r>
    </w:p>
    <w:p w14:paraId="7A9ECCF3" w14:textId="552CE484" w:rsidR="009F29CE" w:rsidRPr="00E43E9B" w:rsidRDefault="552126A3" w:rsidP="009F29CE">
      <w:pPr>
        <w:pStyle w:val="Heading1"/>
        <w:rPr>
          <w:rFonts w:ascii="Calibri" w:hAnsi="Calibri" w:cs="Calibri"/>
        </w:rPr>
      </w:pPr>
      <w:bookmarkStart w:id="6" w:name="_Toc219208379"/>
      <w:r w:rsidRPr="3259D984">
        <w:rPr>
          <w:rFonts w:ascii="Calibri" w:hAnsi="Calibri" w:cs="Calibri"/>
        </w:rPr>
        <w:t>2</w:t>
      </w:r>
      <w:r w:rsidR="00FC1023" w:rsidRPr="00E43E9B">
        <w:rPr>
          <w:rFonts w:ascii="Calibri" w:hAnsi="Calibri" w:cs="Calibri"/>
        </w:rPr>
        <w:t xml:space="preserve">. </w:t>
      </w:r>
      <w:r w:rsidR="00EF6719" w:rsidRPr="00EF6719">
        <w:rPr>
          <w:rFonts w:ascii="Calibri" w:hAnsi="Calibri" w:cs="Calibri"/>
        </w:rPr>
        <w:t xml:space="preserve">Expectations </w:t>
      </w:r>
      <w:r w:rsidR="00EF6719">
        <w:rPr>
          <w:rFonts w:ascii="Calibri" w:hAnsi="Calibri" w:cs="Calibri"/>
        </w:rPr>
        <w:t xml:space="preserve">from the Parties </w:t>
      </w:r>
      <w:r w:rsidR="00EF6719" w:rsidRPr="00EF6719">
        <w:rPr>
          <w:rFonts w:ascii="Calibri" w:hAnsi="Calibri" w:cs="Calibri"/>
        </w:rPr>
        <w:t xml:space="preserve">for Successful Implementation of </w:t>
      </w:r>
      <w:r w:rsidR="00EF6719">
        <w:rPr>
          <w:rFonts w:ascii="Calibri" w:hAnsi="Calibri" w:cs="Calibri"/>
        </w:rPr>
        <w:t>the</w:t>
      </w:r>
      <w:r w:rsidR="00EF6719" w:rsidRPr="00EF6719">
        <w:rPr>
          <w:rFonts w:ascii="Calibri" w:hAnsi="Calibri" w:cs="Calibri"/>
        </w:rPr>
        <w:t xml:space="preserve"> Framework</w:t>
      </w:r>
      <w:bookmarkEnd w:id="6"/>
    </w:p>
    <w:p w14:paraId="39E45E3C" w14:textId="77777777" w:rsidR="009F29CE" w:rsidRPr="00E43E9B" w:rsidRDefault="009F29CE" w:rsidP="009F29CE">
      <w:pPr>
        <w:rPr>
          <w:rFonts w:ascii="Calibri" w:hAnsi="Calibri" w:cs="Calibri"/>
        </w:rPr>
      </w:pPr>
    </w:p>
    <w:p w14:paraId="4380BF2B" w14:textId="532A871A" w:rsidR="009F29CE" w:rsidRPr="00E43E9B" w:rsidRDefault="009F29CE" w:rsidP="3259D984">
      <w:pPr>
        <w:spacing w:after="0" w:line="240" w:lineRule="auto"/>
        <w:rPr>
          <w:rFonts w:ascii="Calibri" w:hAnsi="Calibri" w:cs="Calibri"/>
        </w:rPr>
      </w:pPr>
      <w:r w:rsidRPr="46DA9D63">
        <w:rPr>
          <w:rFonts w:ascii="Calibri" w:hAnsi="Calibri" w:cs="Calibri"/>
        </w:rPr>
        <w:t>Effective implementation of value-based contracting requires a transparent allocation of responsibilities among healthcare providers, payers, and the regulator</w:t>
      </w:r>
      <w:r w:rsidR="49CE0A5A" w:rsidRPr="3259D984">
        <w:rPr>
          <w:rFonts w:ascii="Calibri" w:hAnsi="Calibri" w:cs="Calibri"/>
        </w:rPr>
        <w:t>.</w:t>
      </w:r>
    </w:p>
    <w:p w14:paraId="07C68E67" w14:textId="4A9AB9BF" w:rsidR="009F29CE" w:rsidRPr="00E43E9B" w:rsidRDefault="009F29CE" w:rsidP="3259D984">
      <w:pPr>
        <w:spacing w:after="0" w:line="240" w:lineRule="auto"/>
        <w:rPr>
          <w:rFonts w:ascii="Calibri" w:hAnsi="Calibri" w:cs="Calibri"/>
        </w:rPr>
      </w:pPr>
    </w:p>
    <w:p w14:paraId="37BF94B6" w14:textId="20F892ED" w:rsidR="3259D984" w:rsidRDefault="009F29CE" w:rsidP="007F22CF">
      <w:pPr>
        <w:spacing w:after="0" w:line="240" w:lineRule="auto"/>
        <w:rPr>
          <w:rFonts w:ascii="Calibri" w:hAnsi="Calibri" w:cs="Calibri"/>
        </w:rPr>
      </w:pPr>
      <w:r w:rsidRPr="46DA9D63">
        <w:rPr>
          <w:rFonts w:ascii="Calibri" w:hAnsi="Calibri" w:cs="Calibri"/>
        </w:rPr>
        <w:t>While value-based contracts are negotiated commercially between payers and providers, CHI acts as a regulator for private healthcare providers and a system enabler, ensuring alignment with national health priorities, patient protection</w:t>
      </w:r>
      <w:r w:rsidR="0F41EB6A" w:rsidRPr="3259D984">
        <w:rPr>
          <w:rFonts w:ascii="Calibri" w:hAnsi="Calibri" w:cs="Calibri"/>
        </w:rPr>
        <w:t xml:space="preserve"> (in terms of access </w:t>
      </w:r>
      <w:r w:rsidRPr="46DA9D63">
        <w:rPr>
          <w:rFonts w:ascii="Calibri" w:hAnsi="Calibri" w:cs="Calibri"/>
        </w:rPr>
        <w:t xml:space="preserve">and </w:t>
      </w:r>
      <w:r w:rsidR="0F41EB6A" w:rsidRPr="3259D984">
        <w:rPr>
          <w:rFonts w:ascii="Calibri" w:hAnsi="Calibri" w:cs="Calibri"/>
        </w:rPr>
        <w:t>equality)</w:t>
      </w:r>
      <w:r w:rsidRPr="3259D984">
        <w:rPr>
          <w:rFonts w:ascii="Calibri" w:hAnsi="Calibri" w:cs="Calibri"/>
        </w:rPr>
        <w:t xml:space="preserve">, and </w:t>
      </w:r>
      <w:r w:rsidRPr="46DA9D63">
        <w:rPr>
          <w:rFonts w:ascii="Calibri" w:hAnsi="Calibri" w:cs="Calibri"/>
        </w:rPr>
        <w:t xml:space="preserve">market sustainability. This role includes establishing regulatory frameworks and contracting guidelines, ensuring consistency with national health policies and care provision requirements, and coordinating alignment across </w:t>
      </w:r>
      <w:r w:rsidRPr="46DA9D63">
        <w:rPr>
          <w:rFonts w:ascii="Calibri" w:hAnsi="Calibri" w:cs="Calibri"/>
        </w:rPr>
        <w:lastRenderedPageBreak/>
        <w:t>related CHI initiatives. In addition, CHI monitors market behavior to safeguard competition, access to care, and provider sustainability.</w:t>
      </w:r>
    </w:p>
    <w:p w14:paraId="2F35D8F1" w14:textId="7EA8F110" w:rsidR="0025636A" w:rsidRPr="00E43E9B" w:rsidRDefault="0025636A" w:rsidP="007F22CF">
      <w:pPr>
        <w:spacing w:after="0" w:line="240" w:lineRule="auto"/>
        <w:rPr>
          <w:rFonts w:ascii="Calibri" w:hAnsi="Calibri" w:cs="Calibri"/>
        </w:rPr>
      </w:pPr>
    </w:p>
    <w:p w14:paraId="7B4A417D" w14:textId="77777777" w:rsidR="00AB7712" w:rsidRPr="00E43E9B" w:rsidRDefault="00AB7712" w:rsidP="00AB7712">
      <w:pPr>
        <w:spacing w:after="0" w:line="240" w:lineRule="auto"/>
        <w:rPr>
          <w:rFonts w:ascii="Calibri" w:hAnsi="Calibri" w:cs="Calibri"/>
        </w:rPr>
      </w:pPr>
      <w:r w:rsidRPr="00E43E9B">
        <w:rPr>
          <w:rFonts w:ascii="Calibri" w:hAnsi="Calibri" w:cs="Calibri"/>
        </w:rPr>
        <w:t xml:space="preserve">This section </w:t>
      </w:r>
      <w:r w:rsidRPr="002D033E">
        <w:rPr>
          <w:rFonts w:ascii="Calibri" w:hAnsi="Calibri" w:cs="Calibri"/>
        </w:rPr>
        <w:t>outlines the minimum expected responsibilities of each stakeholder group to support transparent, fair, an</w:t>
      </w:r>
      <w:r w:rsidRPr="00E43E9B">
        <w:rPr>
          <w:rFonts w:ascii="Calibri" w:hAnsi="Calibri" w:cs="Calibri"/>
        </w:rPr>
        <w:t>d outcome-oriented value-based contracting.</w:t>
      </w:r>
    </w:p>
    <w:p w14:paraId="1BAA49E1" w14:textId="2C8FF8A2" w:rsidR="00FC1023" w:rsidRPr="00E43E9B" w:rsidRDefault="00FC1023" w:rsidP="00FC1023">
      <w:pPr>
        <w:spacing w:after="0" w:line="240" w:lineRule="auto"/>
        <w:rPr>
          <w:rFonts w:ascii="Calibri" w:hAnsi="Calibri" w:cs="Calibri"/>
        </w:rPr>
      </w:pPr>
    </w:p>
    <w:p w14:paraId="77054A23" w14:textId="36477019" w:rsidR="00033F4D" w:rsidRPr="00D54513" w:rsidRDefault="50649C44" w:rsidP="0DACE1A3">
      <w:pPr>
        <w:pStyle w:val="Heading2"/>
        <w:rPr>
          <w:rFonts w:ascii="Calibri" w:hAnsi="Calibri" w:cs="Calibri"/>
        </w:rPr>
      </w:pPr>
      <w:bookmarkStart w:id="7" w:name="_Toc219208380"/>
      <w:r>
        <w:t>2</w:t>
      </w:r>
      <w:r w:rsidR="00FC1023">
        <w:t>.</w:t>
      </w:r>
      <w:r w:rsidR="002E29E5">
        <w:t>1</w:t>
      </w:r>
      <w:r w:rsidR="00FC1023">
        <w:t xml:space="preserve"> </w:t>
      </w:r>
      <w:r w:rsidR="00FC1023" w:rsidRPr="000D4569">
        <w:rPr>
          <w:rFonts w:asciiTheme="minorHAnsi" w:eastAsiaTheme="minorEastAsia" w:hAnsiTheme="minorHAnsi" w:cstheme="minorBidi"/>
        </w:rPr>
        <w:t>Responsibilities of Healthcare Providers</w:t>
      </w:r>
      <w:bookmarkEnd w:id="7"/>
      <w:r w:rsidR="12FF4A76" w:rsidRPr="000D4569">
        <w:rPr>
          <w:rFonts w:asciiTheme="minorHAnsi" w:eastAsiaTheme="minorEastAsia" w:hAnsiTheme="minorHAnsi" w:cstheme="minorBidi"/>
        </w:rPr>
        <w:t xml:space="preserve"> </w:t>
      </w:r>
    </w:p>
    <w:p w14:paraId="1A539480" w14:textId="1DDD6747" w:rsidR="00FC1023" w:rsidRPr="00E43E9B" w:rsidRDefault="00FC1023" w:rsidP="0025636A">
      <w:pPr>
        <w:spacing w:after="0" w:line="240" w:lineRule="auto"/>
        <w:rPr>
          <w:rFonts w:ascii="Calibri" w:hAnsi="Calibri" w:cs="Calibri"/>
        </w:rPr>
      </w:pPr>
      <w:r w:rsidRPr="06B6D17C">
        <w:rPr>
          <w:rFonts w:ascii="Calibri" w:hAnsi="Calibri" w:cs="Calibri"/>
        </w:rPr>
        <w:t>Healthcare providers are primarily responsible for clinical delivery, outc</w:t>
      </w:r>
      <w:r w:rsidRPr="0DACE1A3">
        <w:rPr>
          <w:rFonts w:eastAsiaTheme="minorEastAsia"/>
        </w:rPr>
        <w:t>ome</w:t>
      </w:r>
      <w:r w:rsidR="0DF26E4B" w:rsidRPr="0DACE1A3">
        <w:rPr>
          <w:rFonts w:eastAsiaTheme="minorEastAsia"/>
        </w:rPr>
        <w:t>s’</w:t>
      </w:r>
      <w:r w:rsidRPr="0DACE1A3">
        <w:rPr>
          <w:rFonts w:eastAsiaTheme="minorEastAsia"/>
        </w:rPr>
        <w:t xml:space="preserve"> achiev</w:t>
      </w:r>
      <w:r w:rsidRPr="06B6D17C">
        <w:rPr>
          <w:rFonts w:ascii="Calibri" w:hAnsi="Calibri" w:cs="Calibri"/>
        </w:rPr>
        <w:t>ement, and care efficiency within the scope of the contracted bundle or population.</w:t>
      </w:r>
      <w:r w:rsidR="0025636A" w:rsidRPr="06B6D17C">
        <w:rPr>
          <w:rFonts w:ascii="Calibri" w:hAnsi="Calibri" w:cs="Calibri"/>
        </w:rPr>
        <w:t xml:space="preserve"> </w:t>
      </w:r>
      <w:r w:rsidRPr="06B6D17C">
        <w:rPr>
          <w:rFonts w:ascii="Calibri" w:hAnsi="Calibri" w:cs="Calibri"/>
        </w:rPr>
        <w:t>Key responsibilities include:</w:t>
      </w:r>
    </w:p>
    <w:p w14:paraId="521F038E" w14:textId="77777777" w:rsidR="0025636A" w:rsidRPr="00E43E9B" w:rsidRDefault="0025636A" w:rsidP="0025636A">
      <w:pPr>
        <w:spacing w:after="0" w:line="240" w:lineRule="auto"/>
        <w:rPr>
          <w:rFonts w:ascii="Calibri" w:hAnsi="Calibri" w:cs="Calibri"/>
        </w:rPr>
      </w:pPr>
    </w:p>
    <w:p w14:paraId="3FE7130F" w14:textId="7FBB1F4B" w:rsidR="001236AE" w:rsidRPr="00E43E9B" w:rsidRDefault="747EA5E3" w:rsidP="0DACE1A3">
      <w:pPr>
        <w:spacing w:after="0" w:line="240" w:lineRule="auto"/>
        <w:rPr>
          <w:rFonts w:ascii="Calibri" w:hAnsi="Calibri" w:cs="Calibri"/>
        </w:rPr>
      </w:pPr>
      <w:r w:rsidRPr="0DACE1A3">
        <w:rPr>
          <w:rFonts w:ascii="Calibri" w:hAnsi="Calibri" w:cs="Calibri"/>
          <w:highlight w:val="yellow"/>
        </w:rPr>
        <w:t>Figure #x</w:t>
      </w:r>
    </w:p>
    <w:p w14:paraId="3F61C96B" w14:textId="749E2AF6" w:rsidR="00F7117F" w:rsidRPr="00E43E9B" w:rsidRDefault="007F50BB" w:rsidP="0025636A">
      <w:pPr>
        <w:spacing w:after="0" w:line="240" w:lineRule="auto"/>
        <w:rPr>
          <w:rFonts w:ascii="Calibri" w:hAnsi="Calibri" w:cs="Calibri"/>
        </w:rPr>
      </w:pPr>
      <w:r>
        <w:drawing>
          <wp:inline distT="0" distB="0" distL="0" distR="0" wp14:anchorId="241DF479" wp14:editId="6F60EE6A">
            <wp:extent cx="6301105" cy="2433320"/>
            <wp:effectExtent l="0" t="0" r="4445" b="5080"/>
            <wp:docPr id="94733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31351" name=""/>
                    <pic:cNvPicPr/>
                  </pic:nvPicPr>
                  <pic:blipFill>
                    <a:blip r:embed="rId14"/>
                    <a:stretch>
                      <a:fillRect/>
                    </a:stretch>
                  </pic:blipFill>
                  <pic:spPr>
                    <a:xfrm>
                      <a:off x="0" y="0"/>
                      <a:ext cx="6301105" cy="2433320"/>
                    </a:xfrm>
                    <a:prstGeom prst="rect">
                      <a:avLst/>
                    </a:prstGeom>
                  </pic:spPr>
                </pic:pic>
              </a:graphicData>
            </a:graphic>
          </wp:inline>
        </w:drawing>
      </w:r>
    </w:p>
    <w:p w14:paraId="02A9E3FD" w14:textId="06D821A9" w:rsidR="00FC1023" w:rsidRPr="00E43E9B" w:rsidRDefault="00FC1023" w:rsidP="00FC1023">
      <w:pPr>
        <w:spacing w:after="0" w:line="240" w:lineRule="auto"/>
        <w:rPr>
          <w:rFonts w:ascii="Calibri" w:hAnsi="Calibri" w:cs="Calibri"/>
        </w:rPr>
      </w:pPr>
    </w:p>
    <w:p w14:paraId="4A9C0626" w14:textId="08AD0F30" w:rsidR="00FC1023" w:rsidRPr="00E43E9B" w:rsidRDefault="351C6D8A" w:rsidP="00725B8B">
      <w:pPr>
        <w:pStyle w:val="Heading2"/>
        <w:rPr>
          <w:rFonts w:ascii="Calibri" w:hAnsi="Calibri" w:cs="Calibri"/>
        </w:rPr>
      </w:pPr>
      <w:bookmarkStart w:id="8" w:name="_Toc219208381"/>
      <w:r w:rsidRPr="2CD5189A">
        <w:rPr>
          <w:rFonts w:ascii="Calibri" w:hAnsi="Calibri" w:cs="Calibri"/>
        </w:rPr>
        <w:t>2</w:t>
      </w:r>
      <w:r w:rsidR="00FC1023" w:rsidRPr="2CD5189A">
        <w:rPr>
          <w:rFonts w:ascii="Calibri" w:hAnsi="Calibri" w:cs="Calibri"/>
        </w:rPr>
        <w:t>.</w:t>
      </w:r>
      <w:r w:rsidR="002E29E5" w:rsidRPr="0DACE1A3">
        <w:rPr>
          <w:rFonts w:ascii="Calibri" w:hAnsi="Calibri" w:cs="Calibri"/>
        </w:rPr>
        <w:t>2</w:t>
      </w:r>
      <w:r w:rsidR="45CBEDF9" w:rsidRPr="0DACE1A3">
        <w:rPr>
          <w:rFonts w:ascii="Calibri" w:hAnsi="Calibri" w:cs="Calibri"/>
        </w:rPr>
        <w:t xml:space="preserve"> </w:t>
      </w:r>
      <w:r w:rsidR="00CD0622" w:rsidRPr="0DACE1A3">
        <w:t>Key succuss factors</w:t>
      </w:r>
      <w:r w:rsidR="00FC1023" w:rsidRPr="0DACE1A3">
        <w:t xml:space="preserve"> </w:t>
      </w:r>
      <w:r w:rsidR="00F50AE2" w:rsidRPr="0DACE1A3">
        <w:t>and expectations from</w:t>
      </w:r>
      <w:r w:rsidR="00FC1023" w:rsidRPr="0DACE1A3">
        <w:t xml:space="preserve"> Payers</w:t>
      </w:r>
      <w:bookmarkEnd w:id="8"/>
      <w:r w:rsidR="00FC1023" w:rsidRPr="0DACE1A3">
        <w:t xml:space="preserve"> </w:t>
      </w:r>
    </w:p>
    <w:p w14:paraId="5EA4C436" w14:textId="77777777" w:rsidR="00FC1023" w:rsidRPr="00E43E9B" w:rsidRDefault="00FC1023" w:rsidP="00FC1023">
      <w:pPr>
        <w:spacing w:after="0" w:line="240" w:lineRule="auto"/>
        <w:rPr>
          <w:rFonts w:ascii="Calibri" w:hAnsi="Calibri" w:cs="Calibri"/>
        </w:rPr>
      </w:pPr>
      <w:r w:rsidRPr="00E43E9B">
        <w:rPr>
          <w:rFonts w:ascii="Calibri" w:hAnsi="Calibri" w:cs="Calibri"/>
        </w:rPr>
        <w:t>Payers are responsible for contract design, administration, and performance assessment, ensuring that value-based arrangements are implemented fairly and transparently.</w:t>
      </w:r>
    </w:p>
    <w:p w14:paraId="72082561" w14:textId="77777777" w:rsidR="00FC1023" w:rsidRPr="00E43E9B" w:rsidRDefault="00FC1023" w:rsidP="00FC1023">
      <w:pPr>
        <w:spacing w:after="0" w:line="240" w:lineRule="auto"/>
        <w:rPr>
          <w:rFonts w:ascii="Calibri" w:hAnsi="Calibri" w:cs="Calibri"/>
        </w:rPr>
      </w:pPr>
      <w:r w:rsidRPr="00E43E9B">
        <w:rPr>
          <w:rFonts w:ascii="Calibri" w:hAnsi="Calibri" w:cs="Calibri"/>
        </w:rPr>
        <w:t>Key responsibilities include:</w:t>
      </w:r>
    </w:p>
    <w:p w14:paraId="3D8EEB4E" w14:textId="6019FA7A" w:rsidR="00FC1023" w:rsidRPr="00E43E9B" w:rsidRDefault="00FC1023" w:rsidP="00FC1023">
      <w:pPr>
        <w:spacing w:after="0" w:line="240" w:lineRule="auto"/>
        <w:rPr>
          <w:rFonts w:ascii="Calibri" w:hAnsi="Calibri" w:cs="Calibri"/>
          <w:b/>
          <w:bCs/>
        </w:rPr>
      </w:pPr>
      <w:r w:rsidRPr="00E43E9B">
        <w:rPr>
          <w:rFonts w:ascii="Calibri" w:hAnsi="Calibri" w:cs="Calibri"/>
          <w:b/>
          <w:bCs/>
        </w:rPr>
        <w:t>Contract Design and Administration</w:t>
      </w:r>
    </w:p>
    <w:p w14:paraId="2EE5ECEC" w14:textId="77777777" w:rsidR="00FC1023" w:rsidRPr="00E43E9B" w:rsidRDefault="00FC1023" w:rsidP="00DE5532">
      <w:pPr>
        <w:numPr>
          <w:ilvl w:val="0"/>
          <w:numId w:val="5"/>
        </w:numPr>
        <w:spacing w:after="0" w:line="240" w:lineRule="auto"/>
        <w:rPr>
          <w:rFonts w:ascii="Calibri" w:hAnsi="Calibri" w:cs="Calibri"/>
        </w:rPr>
      </w:pPr>
      <w:r w:rsidRPr="00E43E9B">
        <w:rPr>
          <w:rFonts w:ascii="Calibri" w:hAnsi="Calibri" w:cs="Calibri"/>
        </w:rPr>
        <w:t>Design value-based contracts that align reimbursement with outcomes, quality, and efficiency.</w:t>
      </w:r>
    </w:p>
    <w:p w14:paraId="45BEEE8E" w14:textId="77777777" w:rsidR="00FC1023" w:rsidRPr="00E43E9B" w:rsidRDefault="00FC1023" w:rsidP="00DE5532">
      <w:pPr>
        <w:numPr>
          <w:ilvl w:val="0"/>
          <w:numId w:val="5"/>
        </w:numPr>
        <w:spacing w:after="0" w:line="240" w:lineRule="auto"/>
        <w:rPr>
          <w:rFonts w:ascii="Calibri" w:hAnsi="Calibri" w:cs="Calibri"/>
        </w:rPr>
      </w:pPr>
      <w:r w:rsidRPr="00E43E9B">
        <w:rPr>
          <w:rFonts w:ascii="Calibri" w:hAnsi="Calibri" w:cs="Calibri"/>
        </w:rPr>
        <w:t>Clearly define contract terms, including benchmarks, outcome measures, attribution rules, and settlement methodologies.</w:t>
      </w:r>
    </w:p>
    <w:p w14:paraId="48D288BD" w14:textId="77777777" w:rsidR="00FC1023" w:rsidRPr="00E43E9B" w:rsidRDefault="00FC1023" w:rsidP="00DE5532">
      <w:pPr>
        <w:numPr>
          <w:ilvl w:val="0"/>
          <w:numId w:val="5"/>
        </w:numPr>
        <w:spacing w:after="0" w:line="240" w:lineRule="auto"/>
        <w:rPr>
          <w:rFonts w:ascii="Calibri" w:hAnsi="Calibri" w:cs="Calibri"/>
        </w:rPr>
      </w:pPr>
      <w:r w:rsidRPr="00E43E9B">
        <w:rPr>
          <w:rFonts w:ascii="Calibri" w:hAnsi="Calibri" w:cs="Calibri"/>
        </w:rPr>
        <w:t>Ensure that contract structures are understandable, measurable, and operationally feasible.</w:t>
      </w:r>
    </w:p>
    <w:p w14:paraId="741F0D16" w14:textId="6FDF4007" w:rsidR="3A17DE9A" w:rsidRDefault="3A17DE9A" w:rsidP="00DE5532">
      <w:pPr>
        <w:numPr>
          <w:ilvl w:val="0"/>
          <w:numId w:val="5"/>
        </w:numPr>
        <w:spacing w:after="0" w:line="240" w:lineRule="auto"/>
        <w:rPr>
          <w:rFonts w:ascii="Calibri" w:hAnsi="Calibri" w:cs="Calibri"/>
        </w:rPr>
      </w:pPr>
      <w:r w:rsidRPr="24A8D1DB">
        <w:rPr>
          <w:rFonts w:ascii="Calibri" w:hAnsi="Calibri" w:cs="Calibri"/>
        </w:rPr>
        <w:t>Offer a range of incentives (financial or non-financial) based on a defined level of maturity.</w:t>
      </w:r>
    </w:p>
    <w:p w14:paraId="6CC2788D" w14:textId="20C5EEB0" w:rsidR="24A8D1DB" w:rsidRDefault="24A8D1DB" w:rsidP="24A8D1DB">
      <w:pPr>
        <w:spacing w:after="0" w:line="240" w:lineRule="auto"/>
        <w:ind w:left="720"/>
        <w:rPr>
          <w:rFonts w:ascii="Calibri" w:hAnsi="Calibri" w:cs="Calibri"/>
        </w:rPr>
      </w:pPr>
    </w:p>
    <w:p w14:paraId="4FD49B9E" w14:textId="5FAB1700" w:rsidR="00FC1023" w:rsidRPr="00E43E9B" w:rsidRDefault="00FC1023" w:rsidP="00FC1023">
      <w:pPr>
        <w:spacing w:after="0" w:line="240" w:lineRule="auto"/>
        <w:rPr>
          <w:rFonts w:ascii="Calibri" w:hAnsi="Calibri" w:cs="Calibri"/>
          <w:b/>
          <w:bCs/>
        </w:rPr>
      </w:pPr>
      <w:r w:rsidRPr="00E43E9B">
        <w:rPr>
          <w:rFonts w:ascii="Calibri" w:hAnsi="Calibri" w:cs="Calibri"/>
          <w:b/>
          <w:bCs/>
        </w:rPr>
        <w:t>Data Sharing and Transparency</w:t>
      </w:r>
    </w:p>
    <w:p w14:paraId="2A62D7E3" w14:textId="77777777" w:rsidR="00FC1023" w:rsidRPr="00E43E9B" w:rsidRDefault="00FC1023" w:rsidP="00DE5532">
      <w:pPr>
        <w:numPr>
          <w:ilvl w:val="0"/>
          <w:numId w:val="6"/>
        </w:numPr>
        <w:spacing w:after="0" w:line="240" w:lineRule="auto"/>
        <w:rPr>
          <w:rFonts w:ascii="Calibri" w:hAnsi="Calibri" w:cs="Calibri"/>
        </w:rPr>
      </w:pPr>
      <w:r w:rsidRPr="00E43E9B">
        <w:rPr>
          <w:rFonts w:ascii="Calibri" w:hAnsi="Calibri" w:cs="Calibri"/>
        </w:rPr>
        <w:t>Provide providers with timely and accurate data necessary for performance monitoring, including claims data and utilization reports.</w:t>
      </w:r>
    </w:p>
    <w:p w14:paraId="2D00F0FD" w14:textId="77777777" w:rsidR="00FC1023" w:rsidRPr="00E43E9B" w:rsidRDefault="00FC1023" w:rsidP="00DE5532">
      <w:pPr>
        <w:numPr>
          <w:ilvl w:val="0"/>
          <w:numId w:val="6"/>
        </w:numPr>
        <w:spacing w:after="0" w:line="240" w:lineRule="auto"/>
        <w:rPr>
          <w:rFonts w:ascii="Calibri" w:hAnsi="Calibri" w:cs="Calibri"/>
        </w:rPr>
      </w:pPr>
      <w:r w:rsidRPr="00E43E9B">
        <w:rPr>
          <w:rFonts w:ascii="Calibri" w:hAnsi="Calibri" w:cs="Calibri"/>
        </w:rPr>
        <w:t>Disclose benchmarking methodologies and any applicable adjustments.</w:t>
      </w:r>
    </w:p>
    <w:p w14:paraId="1829E55E" w14:textId="77777777" w:rsidR="00FC1023" w:rsidRPr="00E43E9B" w:rsidRDefault="00FC1023" w:rsidP="00DE5532">
      <w:pPr>
        <w:numPr>
          <w:ilvl w:val="0"/>
          <w:numId w:val="6"/>
        </w:numPr>
        <w:spacing w:after="0" w:line="240" w:lineRule="auto"/>
        <w:rPr>
          <w:rFonts w:ascii="Calibri" w:hAnsi="Calibri" w:cs="Calibri"/>
        </w:rPr>
      </w:pPr>
      <w:r w:rsidRPr="00E43E9B">
        <w:rPr>
          <w:rFonts w:ascii="Calibri" w:hAnsi="Calibri" w:cs="Calibri"/>
        </w:rPr>
        <w:t>Support data integration and alignment with agreed measurement frameworks.</w:t>
      </w:r>
    </w:p>
    <w:p w14:paraId="1A50F741" w14:textId="419E3E6E" w:rsidR="00FC1023" w:rsidRPr="00E43E9B" w:rsidRDefault="00FC1023" w:rsidP="00FC1023">
      <w:pPr>
        <w:spacing w:after="0" w:line="240" w:lineRule="auto"/>
        <w:rPr>
          <w:rFonts w:ascii="Calibri" w:hAnsi="Calibri" w:cs="Calibri"/>
          <w:b/>
          <w:bCs/>
        </w:rPr>
      </w:pPr>
      <w:r w:rsidRPr="00E43E9B">
        <w:rPr>
          <w:rFonts w:ascii="Calibri" w:hAnsi="Calibri" w:cs="Calibri"/>
          <w:b/>
          <w:bCs/>
        </w:rPr>
        <w:lastRenderedPageBreak/>
        <w:t>Fair Performance Assessment</w:t>
      </w:r>
    </w:p>
    <w:p w14:paraId="2F2A439E" w14:textId="77777777" w:rsidR="00FC1023" w:rsidRPr="00E43E9B" w:rsidRDefault="00FC1023" w:rsidP="00DE5532">
      <w:pPr>
        <w:numPr>
          <w:ilvl w:val="0"/>
          <w:numId w:val="7"/>
        </w:numPr>
        <w:spacing w:after="0" w:line="240" w:lineRule="auto"/>
        <w:rPr>
          <w:rFonts w:ascii="Calibri" w:hAnsi="Calibri" w:cs="Calibri"/>
        </w:rPr>
      </w:pPr>
      <w:r w:rsidRPr="00E43E9B">
        <w:rPr>
          <w:rFonts w:ascii="Calibri" w:hAnsi="Calibri" w:cs="Calibri"/>
        </w:rPr>
        <w:t>Apply outcome measurement, risk adjustment, and financial reconciliation methodologies consistently.</w:t>
      </w:r>
    </w:p>
    <w:p w14:paraId="0370D76C" w14:textId="77777777" w:rsidR="00FC1023" w:rsidRPr="00E43E9B" w:rsidRDefault="00FC1023" w:rsidP="00DE5532">
      <w:pPr>
        <w:numPr>
          <w:ilvl w:val="0"/>
          <w:numId w:val="7"/>
        </w:numPr>
        <w:spacing w:after="0" w:line="240" w:lineRule="auto"/>
        <w:rPr>
          <w:rFonts w:ascii="Calibri" w:hAnsi="Calibri" w:cs="Calibri"/>
        </w:rPr>
      </w:pPr>
      <w:r w:rsidRPr="00E43E9B">
        <w:rPr>
          <w:rFonts w:ascii="Calibri" w:hAnsi="Calibri" w:cs="Calibri"/>
        </w:rPr>
        <w:t>Ensure that performance assessments reflect factors within the provider’s reasonable influence.</w:t>
      </w:r>
    </w:p>
    <w:p w14:paraId="1B05079A" w14:textId="77777777" w:rsidR="00FC1023" w:rsidRPr="00E43E9B" w:rsidRDefault="00FC1023" w:rsidP="00DE5532">
      <w:pPr>
        <w:numPr>
          <w:ilvl w:val="0"/>
          <w:numId w:val="7"/>
        </w:numPr>
        <w:spacing w:after="0" w:line="240" w:lineRule="auto"/>
        <w:rPr>
          <w:rFonts w:ascii="Calibri" w:hAnsi="Calibri" w:cs="Calibri"/>
        </w:rPr>
      </w:pPr>
      <w:r w:rsidRPr="00E43E9B">
        <w:rPr>
          <w:rFonts w:ascii="Calibri" w:hAnsi="Calibri" w:cs="Calibri"/>
        </w:rPr>
        <w:t>Manage disputes in accordance with defined escalation and resolution mechanisms.</w:t>
      </w:r>
    </w:p>
    <w:p w14:paraId="2B016FB8" w14:textId="6ECDDD39" w:rsidR="00FC1023" w:rsidRPr="00E43E9B" w:rsidRDefault="00FC1023" w:rsidP="00FC1023">
      <w:pPr>
        <w:spacing w:after="0" w:line="240" w:lineRule="auto"/>
        <w:rPr>
          <w:rFonts w:ascii="Calibri" w:hAnsi="Calibri" w:cs="Calibri"/>
          <w:b/>
          <w:bCs/>
        </w:rPr>
      </w:pPr>
      <w:r w:rsidRPr="00E43E9B">
        <w:rPr>
          <w:rFonts w:ascii="Calibri" w:hAnsi="Calibri" w:cs="Calibri"/>
          <w:b/>
          <w:bCs/>
        </w:rPr>
        <w:t>Patient Protection and Network Management</w:t>
      </w:r>
    </w:p>
    <w:p w14:paraId="7127B856" w14:textId="77777777" w:rsidR="00FC1023" w:rsidRPr="00E43E9B" w:rsidRDefault="00FC1023" w:rsidP="00DE5532">
      <w:pPr>
        <w:numPr>
          <w:ilvl w:val="0"/>
          <w:numId w:val="8"/>
        </w:numPr>
        <w:spacing w:after="0" w:line="240" w:lineRule="auto"/>
        <w:rPr>
          <w:rFonts w:ascii="Calibri" w:hAnsi="Calibri" w:cs="Calibri"/>
        </w:rPr>
      </w:pPr>
      <w:r w:rsidRPr="00E43E9B">
        <w:rPr>
          <w:rFonts w:ascii="Calibri" w:hAnsi="Calibri" w:cs="Calibri"/>
        </w:rPr>
        <w:t>Ensure that contracting arrangements do not restrict beneficiary access to entitled services.</w:t>
      </w:r>
    </w:p>
    <w:p w14:paraId="1BD7BAEC" w14:textId="77777777" w:rsidR="00FC1023" w:rsidRPr="00E43E9B" w:rsidRDefault="00FC1023" w:rsidP="00DE5532">
      <w:pPr>
        <w:numPr>
          <w:ilvl w:val="0"/>
          <w:numId w:val="8"/>
        </w:numPr>
        <w:spacing w:after="0" w:line="240" w:lineRule="auto"/>
        <w:rPr>
          <w:rFonts w:ascii="Calibri" w:hAnsi="Calibri" w:cs="Calibri"/>
        </w:rPr>
      </w:pPr>
      <w:r w:rsidRPr="00E43E9B">
        <w:rPr>
          <w:rFonts w:ascii="Calibri" w:hAnsi="Calibri" w:cs="Calibri"/>
        </w:rPr>
        <w:t>Maintain network adequacy and continuity of care.</w:t>
      </w:r>
    </w:p>
    <w:p w14:paraId="07BAFE27" w14:textId="282465EA" w:rsidR="00FC1023" w:rsidRPr="00E43E9B" w:rsidRDefault="00FC1023" w:rsidP="00DE5532">
      <w:pPr>
        <w:numPr>
          <w:ilvl w:val="0"/>
          <w:numId w:val="8"/>
        </w:numPr>
        <w:spacing w:after="0" w:line="240" w:lineRule="auto"/>
        <w:rPr>
          <w:rFonts w:ascii="Calibri" w:hAnsi="Calibri" w:cs="Calibri"/>
        </w:rPr>
      </w:pPr>
      <w:r w:rsidRPr="2CD5189A">
        <w:rPr>
          <w:rFonts w:ascii="Calibri" w:hAnsi="Calibri" w:cs="Calibri"/>
        </w:rPr>
        <w:t>Align utilization management practices with the objectives of value-based contracting.</w:t>
      </w:r>
    </w:p>
    <w:p w14:paraId="69B5DFDD" w14:textId="1FCBB88A" w:rsidR="0025636A" w:rsidRPr="00E43E9B" w:rsidRDefault="0025636A" w:rsidP="00FC1023">
      <w:pPr>
        <w:spacing w:after="0" w:line="240" w:lineRule="auto"/>
        <w:rPr>
          <w:rFonts w:ascii="Calibri" w:hAnsi="Calibri" w:cs="Calibri"/>
          <w:b/>
          <w:bCs/>
        </w:rPr>
      </w:pPr>
    </w:p>
    <w:p w14:paraId="2DC69124" w14:textId="20AE60CA" w:rsidR="00FC1023" w:rsidRPr="00E43E9B" w:rsidRDefault="00FC1023" w:rsidP="00FC1023">
      <w:pPr>
        <w:spacing w:after="0" w:line="240" w:lineRule="auto"/>
        <w:rPr>
          <w:rFonts w:ascii="Calibri" w:hAnsi="Calibri" w:cs="Calibri"/>
        </w:rPr>
      </w:pPr>
    </w:p>
    <w:p w14:paraId="35BAEFF7" w14:textId="23BBA3D5" w:rsidR="00FC1023" w:rsidRPr="00E43E9B" w:rsidRDefault="58262A25" w:rsidP="002E29E5">
      <w:pPr>
        <w:pStyle w:val="Heading2"/>
        <w:rPr>
          <w:rFonts w:ascii="Calibri" w:hAnsi="Calibri" w:cs="Calibri"/>
        </w:rPr>
      </w:pPr>
      <w:bookmarkStart w:id="9" w:name="_Toc219208382"/>
      <w:r w:rsidRPr="3259D984">
        <w:rPr>
          <w:rFonts w:ascii="Calibri" w:hAnsi="Calibri" w:cs="Calibri"/>
        </w:rPr>
        <w:t>2</w:t>
      </w:r>
      <w:r w:rsidR="002E29E5" w:rsidRPr="00E43E9B">
        <w:rPr>
          <w:rFonts w:ascii="Calibri" w:hAnsi="Calibri" w:cs="Calibri"/>
        </w:rPr>
        <w:t>.</w:t>
      </w:r>
      <w:r w:rsidR="006D5DB9">
        <w:rPr>
          <w:rFonts w:ascii="Calibri" w:hAnsi="Calibri" w:cs="Calibri"/>
        </w:rPr>
        <w:t>3</w:t>
      </w:r>
      <w:r w:rsidR="00E12A55" w:rsidRPr="00E43E9B">
        <w:rPr>
          <w:rFonts w:ascii="Calibri" w:hAnsi="Calibri" w:cs="Calibri"/>
        </w:rPr>
        <w:t xml:space="preserve"> </w:t>
      </w:r>
      <w:r w:rsidR="00FC1023" w:rsidRPr="00E43E9B">
        <w:rPr>
          <w:rFonts w:ascii="Calibri" w:hAnsi="Calibri" w:cs="Calibri"/>
        </w:rPr>
        <w:t>Shared Responsibilities</w:t>
      </w:r>
      <w:bookmarkEnd w:id="9"/>
    </w:p>
    <w:p w14:paraId="5EE18687" w14:textId="7784A078" w:rsidR="00FC1023" w:rsidRPr="00E43E9B" w:rsidRDefault="00E12A55" w:rsidP="00E12A55">
      <w:pPr>
        <w:spacing w:after="0" w:line="240" w:lineRule="auto"/>
        <w:rPr>
          <w:rFonts w:ascii="Calibri" w:hAnsi="Calibri" w:cs="Calibri"/>
        </w:rPr>
      </w:pPr>
      <w:r w:rsidRPr="00E43E9B">
        <w:rPr>
          <w:rFonts w:ascii="Calibri" w:hAnsi="Calibri" w:cs="Calibri"/>
        </w:rPr>
        <w:t>Specific</w:t>
      </w:r>
      <w:r w:rsidR="00FC1023" w:rsidRPr="00E43E9B">
        <w:rPr>
          <w:rFonts w:ascii="Calibri" w:hAnsi="Calibri" w:cs="Calibri"/>
        </w:rPr>
        <w:t xml:space="preserve"> responsibilities are inherently shared between providers and payers and require collaboration to achieve intended outcomes</w:t>
      </w:r>
      <w:r w:rsidR="0025636A" w:rsidRPr="00E43E9B">
        <w:rPr>
          <w:rFonts w:ascii="Calibri" w:hAnsi="Calibri" w:cs="Calibri"/>
        </w:rPr>
        <w:t>, such as a</w:t>
      </w:r>
      <w:r w:rsidR="00FC1023" w:rsidRPr="00E43E9B">
        <w:rPr>
          <w:rFonts w:ascii="Calibri" w:hAnsi="Calibri" w:cs="Calibri"/>
        </w:rPr>
        <w:t>greement on outcome measures, benchmarks, and risk</w:t>
      </w:r>
      <w:r w:rsidR="0025636A" w:rsidRPr="00E43E9B">
        <w:rPr>
          <w:rFonts w:ascii="Calibri" w:hAnsi="Calibri" w:cs="Calibri"/>
        </w:rPr>
        <w:t>-</w:t>
      </w:r>
      <w:r w:rsidR="00FC1023" w:rsidRPr="00E43E9B">
        <w:rPr>
          <w:rFonts w:ascii="Calibri" w:hAnsi="Calibri" w:cs="Calibri"/>
        </w:rPr>
        <w:t>adjustment approaches.</w:t>
      </w:r>
      <w:r w:rsidR="0025636A" w:rsidRPr="00E43E9B">
        <w:rPr>
          <w:rFonts w:ascii="Calibri" w:hAnsi="Calibri" w:cs="Calibri"/>
        </w:rPr>
        <w:t xml:space="preserve">  Also, during the first </w:t>
      </w:r>
      <w:r w:rsidRPr="00E43E9B">
        <w:rPr>
          <w:rFonts w:ascii="Calibri" w:hAnsi="Calibri" w:cs="Calibri"/>
          <w:kern w:val="0"/>
          <w14:ligatures w14:val="none"/>
        </w:rPr>
        <w:t>phase, there should be ongoing performance reviews and joint problem-solving to</w:t>
      </w:r>
      <w:r w:rsidRPr="00E43E9B">
        <w:rPr>
          <w:rFonts w:ascii="Calibri" w:hAnsi="Calibri" w:cs="Calibri"/>
        </w:rPr>
        <w:t xml:space="preserve"> support continuous improvement informed by performance data, leading </w:t>
      </w:r>
      <w:r w:rsidR="0025636A" w:rsidRPr="00E43E9B">
        <w:rPr>
          <w:rFonts w:ascii="Calibri" w:hAnsi="Calibri" w:cs="Calibri"/>
        </w:rPr>
        <w:t>to increase</w:t>
      </w:r>
      <w:r w:rsidRPr="00E43E9B">
        <w:rPr>
          <w:rFonts w:ascii="Calibri" w:hAnsi="Calibri" w:cs="Calibri"/>
        </w:rPr>
        <w:t>d</w:t>
      </w:r>
      <w:r w:rsidR="0025636A" w:rsidRPr="00E43E9B">
        <w:rPr>
          <w:rFonts w:ascii="Calibri" w:hAnsi="Calibri" w:cs="Calibri"/>
        </w:rPr>
        <w:t xml:space="preserve"> payer-provider trust</w:t>
      </w:r>
      <w:r w:rsidRPr="00E43E9B">
        <w:rPr>
          <w:rFonts w:ascii="Calibri" w:hAnsi="Calibri" w:cs="Calibri"/>
        </w:rPr>
        <w:t xml:space="preserve"> and </w:t>
      </w:r>
      <w:r w:rsidR="48D4EB0F" w:rsidRPr="00E43E9B">
        <w:rPr>
          <w:rFonts w:ascii="Calibri" w:hAnsi="Calibri" w:cs="Calibri"/>
        </w:rPr>
        <w:t>emphasizing</w:t>
      </w:r>
      <w:r w:rsidR="00FC1023" w:rsidRPr="00E43E9B">
        <w:rPr>
          <w:rFonts w:ascii="Calibri" w:hAnsi="Calibri" w:cs="Calibri"/>
        </w:rPr>
        <w:t xml:space="preserve"> partnership rather than adversarial risk transfer.</w:t>
      </w:r>
    </w:p>
    <w:p w14:paraId="0CF2E44E" w14:textId="55DD2A58" w:rsidR="00FC1023" w:rsidRPr="00E43E9B" w:rsidRDefault="00FC1023" w:rsidP="00FC1023">
      <w:pPr>
        <w:spacing w:after="0" w:line="240" w:lineRule="auto"/>
        <w:rPr>
          <w:rFonts w:ascii="Calibri" w:hAnsi="Calibri" w:cs="Calibri"/>
        </w:rPr>
      </w:pPr>
    </w:p>
    <w:p w14:paraId="299AE58E" w14:textId="7BB0362E" w:rsidR="00FC1023" w:rsidRPr="00E43E9B" w:rsidRDefault="00FC1023" w:rsidP="00FC1023">
      <w:pPr>
        <w:spacing w:after="0" w:line="240" w:lineRule="auto"/>
        <w:rPr>
          <w:rFonts w:ascii="Calibri" w:hAnsi="Calibri" w:cs="Calibri"/>
        </w:rPr>
      </w:pPr>
      <w:r w:rsidRPr="2CD5189A">
        <w:rPr>
          <w:rFonts w:ascii="Calibri" w:hAnsi="Calibri" w:cs="Calibri"/>
        </w:rPr>
        <w:t xml:space="preserve">All stakeholders involved in value-based contracting remain subject to existing regulations and </w:t>
      </w:r>
      <w:r w:rsidR="00E12A55" w:rsidRPr="2CD5189A">
        <w:rPr>
          <w:rFonts w:ascii="Calibri" w:hAnsi="Calibri" w:cs="Calibri"/>
        </w:rPr>
        <w:t>regulatory oversight</w:t>
      </w:r>
      <w:r w:rsidRPr="2CD5189A">
        <w:rPr>
          <w:rFonts w:ascii="Calibri" w:hAnsi="Calibri" w:cs="Calibri"/>
        </w:rPr>
        <w:t>.</w:t>
      </w:r>
    </w:p>
    <w:p w14:paraId="2CB0D75F" w14:textId="4CCCA61E" w:rsidR="00725B8B" w:rsidRPr="00E43E9B" w:rsidRDefault="00725B8B" w:rsidP="00FC1023">
      <w:pPr>
        <w:spacing w:after="0" w:line="240" w:lineRule="auto"/>
        <w:rPr>
          <w:rFonts w:ascii="Calibri" w:hAnsi="Calibri" w:cs="Calibri"/>
        </w:rPr>
      </w:pPr>
    </w:p>
    <w:p w14:paraId="129CD9AA" w14:textId="15268B98" w:rsidR="00725B8B" w:rsidRPr="00E43E9B" w:rsidRDefault="1E71401B" w:rsidP="00E43E9B">
      <w:pPr>
        <w:pStyle w:val="Heading1"/>
        <w:rPr>
          <w:rFonts w:ascii="Calibri" w:hAnsi="Calibri" w:cs="Calibri"/>
        </w:rPr>
      </w:pPr>
      <w:bookmarkStart w:id="10" w:name="_Toc219208383"/>
      <w:r w:rsidRPr="3259D984">
        <w:rPr>
          <w:rFonts w:ascii="Calibri" w:hAnsi="Calibri" w:cs="Calibri"/>
        </w:rPr>
        <w:t>3</w:t>
      </w:r>
      <w:r w:rsidR="00725B8B" w:rsidRPr="00E43E9B">
        <w:rPr>
          <w:rFonts w:ascii="Calibri" w:hAnsi="Calibri" w:cs="Calibri"/>
        </w:rPr>
        <w:t>. Methodology</w:t>
      </w:r>
      <w:r w:rsidR="43F4CBB4" w:rsidRPr="3259D984">
        <w:rPr>
          <w:rFonts w:ascii="Calibri" w:hAnsi="Calibri" w:cs="Calibri"/>
        </w:rPr>
        <w:t>: Phased Risk Transfer and Implementation Framework</w:t>
      </w:r>
      <w:bookmarkEnd w:id="10"/>
    </w:p>
    <w:p w14:paraId="2A7CBAA2" w14:textId="0648EB54" w:rsidR="00120076" w:rsidRPr="00E43E9B" w:rsidRDefault="12054EE4" w:rsidP="0DACE1A3">
      <w:pPr>
        <w:pStyle w:val="Heading2"/>
        <w:rPr>
          <w:rFonts w:ascii="Calibri" w:hAnsi="Calibri" w:cs="Calibri"/>
        </w:rPr>
      </w:pPr>
      <w:bookmarkStart w:id="11" w:name="_Toc219208384"/>
      <w:r w:rsidRPr="3259D984">
        <w:t>3.1</w:t>
      </w:r>
      <w:r>
        <w:t xml:space="preserve"> </w:t>
      </w:r>
      <w:r w:rsidR="00120076">
        <w:t>Adopt a Phased Risk Transfer Policy Framework</w:t>
      </w:r>
      <w:bookmarkEnd w:id="11"/>
    </w:p>
    <w:p w14:paraId="0E109685" w14:textId="70EF9D7D" w:rsidR="00120076" w:rsidRPr="00E43E9B" w:rsidRDefault="00120076" w:rsidP="00120076">
      <w:pPr>
        <w:pStyle w:val="NormalWeb"/>
        <w:spacing w:before="0" w:beforeAutospacing="0" w:after="0" w:afterAutospacing="0"/>
        <w:rPr>
          <w:rFonts w:ascii="Calibri" w:hAnsi="Calibri" w:cs="Calibri"/>
        </w:rPr>
      </w:pPr>
      <w:r w:rsidRPr="00E43E9B">
        <w:rPr>
          <w:rFonts w:ascii="Calibri" w:hAnsi="Calibri" w:cs="Calibri"/>
        </w:rPr>
        <w:t xml:space="preserve">This phased plan aims to </w:t>
      </w:r>
      <w:r w:rsidR="4E7149C6" w:rsidRPr="3259D984">
        <w:rPr>
          <w:rFonts w:ascii="Calibri" w:hAnsi="Calibri" w:cs="Calibri"/>
        </w:rPr>
        <w:t>formalize</w:t>
      </w:r>
      <w:r w:rsidRPr="00E43E9B">
        <w:rPr>
          <w:rFonts w:ascii="Calibri" w:hAnsi="Calibri" w:cs="Calibri"/>
        </w:rPr>
        <w:t xml:space="preserve"> a graduated pathway from reimbursement -Bundled payments- without financial risk, to Bundles with outcome-linked upside incentives, then finally an introduction of two-sided risk arrangements. The gating criteria align the pace of risk transfer with demonstrated provider capability in data quality, care coordination, and financial management.</w:t>
      </w:r>
    </w:p>
    <w:p w14:paraId="2D6B329A" w14:textId="7A3EFC86" w:rsidR="00120076" w:rsidRPr="00E43E9B" w:rsidRDefault="00120076" w:rsidP="00120076">
      <w:pPr>
        <w:pStyle w:val="NormalWeb"/>
        <w:spacing w:before="0" w:beforeAutospacing="0" w:after="0" w:afterAutospacing="0"/>
        <w:rPr>
          <w:rFonts w:ascii="Calibri" w:hAnsi="Calibri" w:cs="Calibri"/>
        </w:rPr>
      </w:pPr>
      <w:r w:rsidRPr="00E43E9B">
        <w:rPr>
          <w:rFonts w:ascii="Calibri" w:hAnsi="Calibri" w:cs="Calibri"/>
        </w:rPr>
        <w:t xml:space="preserve">CHI is to support the mandate </w:t>
      </w:r>
      <w:r>
        <w:rPr>
          <w:rFonts w:ascii="Calibri" w:hAnsi="Calibri" w:cs="Calibri"/>
        </w:rPr>
        <w:t>to</w:t>
      </w:r>
      <w:r w:rsidRPr="00E43E9B">
        <w:rPr>
          <w:rFonts w:ascii="Calibri" w:hAnsi="Calibri" w:cs="Calibri"/>
        </w:rPr>
        <w:t xml:space="preserve"> use risk corridors, stop-loss, and minimum savings thresholds to mitigate random variation and protect provider sustainability.</w:t>
      </w:r>
    </w:p>
    <w:p w14:paraId="6EA42718" w14:textId="77777777" w:rsidR="00120076" w:rsidRDefault="00120076" w:rsidP="00E43E9B">
      <w:pPr>
        <w:pStyle w:val="NormalWeb"/>
        <w:rPr>
          <w:rFonts w:ascii="Calibri" w:hAnsi="Calibri" w:cs="Calibri"/>
          <w:b/>
          <w:bCs/>
        </w:rPr>
      </w:pPr>
    </w:p>
    <w:p w14:paraId="0AB40346" w14:textId="5B0BCC29" w:rsidR="00E05477" w:rsidRDefault="00E05477" w:rsidP="00E43E9B">
      <w:pPr>
        <w:pStyle w:val="NormalWeb"/>
        <w:rPr>
          <w:rFonts w:ascii="Calibri" w:hAnsi="Calibri" w:cs="Calibri"/>
          <w:b/>
          <w:bCs/>
          <w:sz w:val="28"/>
          <w:szCs w:val="28"/>
        </w:rPr>
      </w:pPr>
      <w:r w:rsidRPr="0DACE1A3">
        <w:rPr>
          <w:rFonts w:ascii="Calibri" w:hAnsi="Calibri" w:cs="Calibri"/>
          <w:b/>
          <w:bCs/>
          <w:sz w:val="28"/>
          <w:szCs w:val="28"/>
        </w:rPr>
        <w:lastRenderedPageBreak/>
        <w:t>Roadmap:</w:t>
      </w:r>
      <w:r w:rsidR="00B82F0C" w:rsidRPr="0DACE1A3">
        <w:rPr>
          <w:rFonts w:ascii="Calibri" w:hAnsi="Calibri" w:cs="Calibri"/>
          <w:sz w:val="28"/>
          <w:szCs w:val="28"/>
        </w:rPr>
        <w:t xml:space="preserve"> </w:t>
      </w:r>
      <w:r w:rsidR="00B82F0C">
        <w:drawing>
          <wp:inline distT="0" distB="0" distL="0" distR="0" wp14:anchorId="61624C4E" wp14:editId="57BFC3ED">
            <wp:extent cx="6451600" cy="2444115"/>
            <wp:effectExtent l="0" t="0" r="0" b="0"/>
            <wp:docPr id="138570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01809" name="Picture 13857018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53089" cy="2444679"/>
                    </a:xfrm>
                    <a:prstGeom prst="rect">
                      <a:avLst/>
                    </a:prstGeom>
                  </pic:spPr>
                </pic:pic>
              </a:graphicData>
            </a:graphic>
          </wp:inline>
        </w:drawing>
      </w:r>
    </w:p>
    <w:p w14:paraId="444E55B8" w14:textId="789893C6" w:rsidR="00F93662" w:rsidRPr="00094795" w:rsidRDefault="00094795" w:rsidP="00E05477">
      <w:pPr>
        <w:pStyle w:val="NormalWeb"/>
        <w:rPr>
          <w:rFonts w:ascii="Calibri" w:hAnsi="Calibri" w:cs="Calibri"/>
        </w:rPr>
      </w:pPr>
      <w:r w:rsidRPr="00094795">
        <w:rPr>
          <w:rFonts w:ascii="Calibri" w:hAnsi="Calibri" w:cs="Calibri"/>
        </w:rPr>
        <w:t>Given this roadmap, gating criteria to support the phased move was developed to ensure that progression between phas</w:t>
      </w:r>
      <w:r w:rsidRPr="513734EB">
        <w:rPr>
          <w:rFonts w:asciiTheme="minorHAnsi" w:eastAsiaTheme="minorEastAsia" w:hAnsiTheme="minorHAnsi" w:cstheme="minorBidi"/>
        </w:rPr>
        <w:t xml:space="preserve">es is based on demonstrated </w:t>
      </w:r>
      <w:r w:rsidR="13F5D6B0" w:rsidRPr="513734EB">
        <w:rPr>
          <w:rFonts w:asciiTheme="minorHAnsi" w:eastAsiaTheme="minorEastAsia" w:hAnsiTheme="minorHAnsi" w:cstheme="minorBidi"/>
        </w:rPr>
        <w:t xml:space="preserve">patient </w:t>
      </w:r>
      <w:r w:rsidRPr="513734EB">
        <w:rPr>
          <w:rFonts w:asciiTheme="minorHAnsi" w:eastAsiaTheme="minorEastAsia" w:hAnsiTheme="minorHAnsi" w:cstheme="minorBidi"/>
        </w:rPr>
        <w:t>outcome, data readiness, and provider capability</w:t>
      </w:r>
      <w:r w:rsidR="15046F68" w:rsidRPr="513734EB">
        <w:rPr>
          <w:rFonts w:asciiTheme="minorHAnsi" w:eastAsiaTheme="minorEastAsia" w:hAnsiTheme="minorHAnsi" w:cstheme="minorBidi"/>
        </w:rPr>
        <w:t xml:space="preserve"> while safeguarding patient outcomes and market stability.</w:t>
      </w:r>
    </w:p>
    <w:p w14:paraId="59C5C0E2" w14:textId="1DFD228D" w:rsidR="24A8D1DB" w:rsidRDefault="24A8D1DB" w:rsidP="24A8D1DB">
      <w:pPr>
        <w:pStyle w:val="NormalWeb"/>
        <w:rPr>
          <w:rFonts w:asciiTheme="minorHAnsi" w:eastAsiaTheme="minorEastAsia" w:hAnsiTheme="minorHAnsi" w:cstheme="minorBidi"/>
        </w:rPr>
      </w:pPr>
    </w:p>
    <w:p w14:paraId="3343C2F9" w14:textId="21D8E178" w:rsidR="39DD440E" w:rsidRDefault="39DD440E" w:rsidP="24A8D1DB">
      <w:pPr>
        <w:pStyle w:val="NormalWeb"/>
        <w:rPr>
          <w:rFonts w:asciiTheme="minorHAnsi" w:eastAsiaTheme="minorEastAsia" w:hAnsiTheme="minorHAnsi" w:cstheme="minorBidi"/>
          <w:b/>
          <w:bCs/>
          <w:highlight w:val="yellow"/>
        </w:rPr>
      </w:pPr>
      <w:r>
        <w:rPr>
          <w:noProof/>
        </w:rPr>
        <mc:AlternateContent>
          <mc:Choice Requires="wps">
            <w:drawing>
              <wp:inline distT="0" distB="0" distL="0" distR="0" wp14:anchorId="7DD7FEA3" wp14:editId="18BCC964">
                <wp:extent cx="6605439" cy="963885"/>
                <wp:effectExtent l="0" t="0" r="24130" b="27305"/>
                <wp:docPr id="1922689640" name="Rectangle 1"/>
                <wp:cNvGraphicFramePr/>
                <a:graphic xmlns:a="http://schemas.openxmlformats.org/drawingml/2006/main">
                  <a:graphicData uri="http://schemas.microsoft.com/office/word/2010/wordprocessingShape">
                    <wps:wsp>
                      <wps:cNvSpPr/>
                      <wps:spPr>
                        <a:xfrm>
                          <a:off x="0" y="0"/>
                          <a:ext cx="6605439" cy="963885"/>
                        </a:xfrm>
                        <a:prstGeom prst="rect">
                          <a:avLst/>
                        </a:prstGeom>
                        <a:solidFill>
                          <a:schemeClr val="tx2">
                            <a:lumMod val="10000"/>
                            <a:lumOff val="90000"/>
                          </a:schemeClr>
                        </a:solidFill>
                        <a:ln>
                          <a:solidFill>
                            <a:schemeClr val="accent1">
                              <a:lumMod val="75000"/>
                            </a:schemeClr>
                          </a:solidFill>
                        </a:ln>
                      </wps:spPr>
                      <wps:txbx>
                        <w:txbxContent>
                          <w:p w14:paraId="74A55C50" w14:textId="77777777" w:rsidR="00105DED" w:rsidRDefault="00105DED" w:rsidP="00105DED">
                            <w:pPr>
                              <w:rPr>
                                <w:kern w:val="0"/>
                                <w14:ligatures w14:val="none"/>
                              </w:rPr>
                            </w:pPr>
                            <w:r>
                              <w:t>The Minimum Savings Rate (MSR) is the minimum percentage savings below the benchmark that must be achieved before the provider earns shared savings payments; for example, with a 2% MSR, a provider achieving only 1.5% savings receives the bundled payment only, while savings of 3% would trigger incentive payments on the 1% exceeding the threshold.</w:t>
                            </w:r>
                          </w:p>
                        </w:txbxContent>
                      </wps:txbx>
                      <wps:bodyPr anchor="t"/>
                    </wps:wsp>
                  </a:graphicData>
                </a:graphic>
              </wp:inline>
            </w:drawing>
          </mc:Choice>
          <mc:Fallback>
            <w:pict>
              <v:rect w14:anchorId="7DD7FEA3" id="Rectangle 1" o:spid="_x0000_s1026" style="width:520.1pt;height: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" fillcolor="#dceaf7 [351]" strokecolor="#0f4761 [2404]">
                <v:textbox>
                  <w:txbxContent>
                    <w:p w14:paraId="74A55C50" w14:textId="77777777" w:rsidR="00105DED" w:rsidRDefault="00105DED" w:rsidP="00105DED">
                      <w:pPr>
                        <w:rPr>
                          <w:kern w:val="0"/>
                          <w14:ligatures w14:val="none"/>
                        </w:rPr>
                      </w:pPr>
                      <w:r>
                        <w:t>The Minimum Savings Rate (MSR) is the minimum percentage savings below the benchmark that must be achieved before the provider earns shared savings payments; for example, with a 2% MSR, a provider achieving only 1.5% savings receives the bundled payment only, while savings of 3% would trigger incentive payments on the 1% exceeding the threshold.</w:t>
                      </w:r>
                    </w:p>
                  </w:txbxContent>
                </v:textbox>
                <w10:anchorlock/>
              </v:rect>
            </w:pict>
          </mc:Fallback>
        </mc:AlternateContent>
      </w:r>
    </w:p>
    <w:p w14:paraId="7EC40E7E" w14:textId="268238A9" w:rsidR="39DD440E" w:rsidRDefault="39DD440E" w:rsidP="00DE5532">
      <w:pPr>
        <w:pStyle w:val="NormalWeb"/>
        <w:numPr>
          <w:ilvl w:val="0"/>
          <w:numId w:val="24"/>
        </w:numPr>
        <w:rPr>
          <w:rFonts w:asciiTheme="minorHAnsi" w:eastAsiaTheme="minorEastAsia" w:hAnsiTheme="minorHAnsi" w:cstheme="minorBidi"/>
          <w:b/>
          <w:bCs/>
          <w:highlight w:val="yellow"/>
        </w:rPr>
      </w:pPr>
      <w:r w:rsidRPr="24A8D1DB">
        <w:rPr>
          <w:rFonts w:asciiTheme="minorHAnsi" w:eastAsiaTheme="minorEastAsia" w:hAnsiTheme="minorHAnsi" w:cstheme="minorBidi"/>
          <w:b/>
          <w:bCs/>
          <w:highlight w:val="yellow"/>
        </w:rPr>
        <w:t>Note for reviewer: An MSR calibration subsection or annex can be added, however it is technical.</w:t>
      </w:r>
    </w:p>
    <w:p w14:paraId="279CD699" w14:textId="53208C72" w:rsidR="24A8D1DB" w:rsidRDefault="24A8D1DB" w:rsidP="24A8D1DB">
      <w:pPr>
        <w:pStyle w:val="NormalWeb"/>
        <w:rPr>
          <w:rFonts w:asciiTheme="minorHAnsi" w:eastAsiaTheme="minorEastAsia" w:hAnsiTheme="minorHAnsi" w:cstheme="minorBidi"/>
          <w:b/>
          <w:bCs/>
          <w:highlight w:val="yellow"/>
        </w:rPr>
      </w:pPr>
    </w:p>
    <w:p w14:paraId="1B07FA9B" w14:textId="572117CA" w:rsidR="3259D984" w:rsidRDefault="63FA831A" w:rsidP="0DACE1A3">
      <w:pPr>
        <w:pStyle w:val="Heading2"/>
        <w:rPr>
          <w:rFonts w:ascii="Calibri" w:hAnsi="Calibri" w:cs="Calibri"/>
        </w:rPr>
      </w:pPr>
      <w:bookmarkStart w:id="12" w:name="_Toc219208385"/>
      <w:r>
        <w:t>3.2 Implementation of roadmap and gating criteria</w:t>
      </w:r>
      <w:bookmarkEnd w:id="12"/>
    </w:p>
    <w:p w14:paraId="0B899D60" w14:textId="75317967" w:rsidR="61EB1778" w:rsidRDefault="61EB1778" w:rsidP="2C5E02EF">
      <w:pPr>
        <w:pStyle w:val="Heading3"/>
        <w:rPr>
          <w:b/>
          <w:bCs/>
          <w:color w:val="153D63" w:themeColor="text2" w:themeTint="E6"/>
        </w:rPr>
      </w:pPr>
      <w:r>
        <w:t>Gating criteria to move from Phase 1 → Phase 2</w:t>
      </w:r>
    </w:p>
    <w:p w14:paraId="679C5CA9" w14:textId="6F152EF9" w:rsidR="61EB1778" w:rsidRDefault="61EB1778" w:rsidP="2C5E02EF">
      <w:pPr>
        <w:pStyle w:val="NormalWeb"/>
        <w:rPr>
          <w:rFonts w:ascii="Calibri" w:hAnsi="Calibri" w:cs="Calibri"/>
          <w:b/>
          <w:bCs/>
          <w:i/>
          <w:iCs/>
        </w:rPr>
      </w:pPr>
      <w:r w:rsidRPr="2C5E02EF">
        <w:rPr>
          <w:rFonts w:ascii="Calibri" w:hAnsi="Calibri" w:cs="Calibri"/>
          <w:b/>
          <w:bCs/>
          <w:i/>
          <w:iCs/>
        </w:rPr>
        <w:t>(Measure &amp; Validate → Shared Accountability)</w:t>
      </w:r>
    </w:p>
    <w:p w14:paraId="7C55D825" w14:textId="68DA5936" w:rsidR="2C5E02EF" w:rsidRDefault="2C5E02EF" w:rsidP="2C5E02EF"/>
    <w:tbl>
      <w:tblPr>
        <w:tblStyle w:val="TableGrid"/>
        <w:tblW w:w="9913" w:type="dxa"/>
        <w:tblLook w:val="06A0" w:firstRow="1" w:lastRow="0" w:firstColumn="1" w:lastColumn="0" w:noHBand="1" w:noVBand="1"/>
      </w:tblPr>
      <w:tblGrid>
        <w:gridCol w:w="1800"/>
        <w:gridCol w:w="2655"/>
        <w:gridCol w:w="3201"/>
        <w:gridCol w:w="2257"/>
      </w:tblGrid>
      <w:tr w:rsidR="2C5E02EF" w14:paraId="7B63EBB0" w14:textId="77777777" w:rsidTr="24A8D1DB">
        <w:trPr>
          <w:trHeight w:val="300"/>
        </w:trPr>
        <w:tc>
          <w:tcPr>
            <w:tcW w:w="1800" w:type="dxa"/>
            <w:shd w:val="clear" w:color="auto" w:fill="153D63" w:themeFill="text2" w:themeFillTint="E6"/>
          </w:tcPr>
          <w:p w14:paraId="3528138F" w14:textId="767AEFC2" w:rsidR="61EB1778" w:rsidRDefault="61EB1778" w:rsidP="2C5E02EF">
            <w:pPr>
              <w:jc w:val="center"/>
              <w:rPr>
                <w:rFonts w:ascii="Times" w:eastAsia="Times" w:hAnsi="Times" w:cs="Times"/>
              </w:rPr>
            </w:pPr>
            <w:r w:rsidRPr="24A8D1DB">
              <w:rPr>
                <w:rFonts w:ascii="Times" w:eastAsia="Times" w:hAnsi="Times" w:cs="Times"/>
              </w:rPr>
              <w:t>Category</w:t>
            </w:r>
          </w:p>
        </w:tc>
        <w:tc>
          <w:tcPr>
            <w:tcW w:w="2655" w:type="dxa"/>
            <w:shd w:val="clear" w:color="auto" w:fill="153D63" w:themeFill="text2" w:themeFillTint="E6"/>
          </w:tcPr>
          <w:p w14:paraId="248BEB4A" w14:textId="36B10E2C" w:rsidR="61EB1778" w:rsidRDefault="61EB1778" w:rsidP="2C5E02EF">
            <w:pPr>
              <w:jc w:val="center"/>
              <w:rPr>
                <w:rFonts w:ascii="Times" w:eastAsia="Times" w:hAnsi="Times" w:cs="Times"/>
              </w:rPr>
            </w:pPr>
            <w:r w:rsidRPr="24A8D1DB">
              <w:rPr>
                <w:rFonts w:ascii="Times" w:eastAsia="Times" w:hAnsi="Times" w:cs="Times"/>
              </w:rPr>
              <w:t>Criterion</w:t>
            </w:r>
          </w:p>
        </w:tc>
        <w:tc>
          <w:tcPr>
            <w:tcW w:w="3201" w:type="dxa"/>
            <w:shd w:val="clear" w:color="auto" w:fill="153D63" w:themeFill="text2" w:themeFillTint="E6"/>
          </w:tcPr>
          <w:p w14:paraId="7A5AD907" w14:textId="574F0498" w:rsidR="61EB1778" w:rsidRDefault="61EB1778" w:rsidP="2C5E02EF">
            <w:pPr>
              <w:jc w:val="center"/>
              <w:rPr>
                <w:rFonts w:ascii="Times" w:eastAsia="Times" w:hAnsi="Times" w:cs="Times"/>
              </w:rPr>
            </w:pPr>
            <w:r w:rsidRPr="24A8D1DB">
              <w:rPr>
                <w:rFonts w:ascii="Times" w:eastAsia="Times" w:hAnsi="Times" w:cs="Times"/>
              </w:rPr>
              <w:t>How to Demonstrate</w:t>
            </w:r>
          </w:p>
        </w:tc>
        <w:tc>
          <w:tcPr>
            <w:tcW w:w="2257" w:type="dxa"/>
            <w:shd w:val="clear" w:color="auto" w:fill="153D63" w:themeFill="text2" w:themeFillTint="E6"/>
          </w:tcPr>
          <w:p w14:paraId="02F2F858" w14:textId="520CECAD" w:rsidR="61EB1778" w:rsidRDefault="61EB1778" w:rsidP="2C5E02EF">
            <w:pPr>
              <w:jc w:val="center"/>
              <w:rPr>
                <w:rFonts w:ascii="Times" w:eastAsia="Times" w:hAnsi="Times" w:cs="Times"/>
              </w:rPr>
            </w:pPr>
            <w:r w:rsidRPr="24A8D1DB">
              <w:rPr>
                <w:rFonts w:ascii="Times" w:eastAsia="Times" w:hAnsi="Times" w:cs="Times"/>
              </w:rPr>
              <w:t>Verification Method</w:t>
            </w:r>
          </w:p>
        </w:tc>
      </w:tr>
      <w:tr w:rsidR="2C5E02EF" w14:paraId="7F16DD5A" w14:textId="77777777" w:rsidTr="24A8D1DB">
        <w:trPr>
          <w:trHeight w:val="300"/>
        </w:trPr>
        <w:tc>
          <w:tcPr>
            <w:tcW w:w="1800" w:type="dxa"/>
          </w:tcPr>
          <w:p w14:paraId="2E03E3AD" w14:textId="5A28DBAC" w:rsidR="61EB1778" w:rsidRDefault="61EB1778" w:rsidP="2C5E02EF">
            <w:pPr>
              <w:pStyle w:val="NormalWeb"/>
              <w:rPr>
                <w:b/>
                <w:bCs/>
              </w:rPr>
            </w:pPr>
            <w:r w:rsidRPr="24A8D1DB">
              <w:rPr>
                <w:b/>
                <w:bCs/>
              </w:rPr>
              <w:t>Data Completeness</w:t>
            </w:r>
          </w:p>
        </w:tc>
        <w:tc>
          <w:tcPr>
            <w:tcW w:w="2655" w:type="dxa"/>
          </w:tcPr>
          <w:p w14:paraId="0AECF94D" w14:textId="3C549D09" w:rsidR="2C5E02EF" w:rsidRDefault="2ECCCCD2" w:rsidP="2C5E02EF">
            <w:pPr>
              <w:pStyle w:val="NormalWeb"/>
              <w:rPr>
                <w:rFonts w:eastAsiaTheme="minorEastAsia"/>
              </w:rPr>
            </w:pPr>
            <w:r>
              <w:t xml:space="preserve">≥85% </w:t>
            </w:r>
            <w:r w:rsidR="6E1FDE99">
              <w:t>outcome measure</w:t>
            </w:r>
            <w:r>
              <w:t xml:space="preserve"> completion</w:t>
            </w:r>
          </w:p>
        </w:tc>
        <w:tc>
          <w:tcPr>
            <w:tcW w:w="3201" w:type="dxa"/>
          </w:tcPr>
          <w:p w14:paraId="4623F8C6" w14:textId="2D049358" w:rsidR="2C5E02EF" w:rsidRDefault="0953EA48" w:rsidP="2C5E02EF">
            <w:pPr>
              <w:pStyle w:val="NormalWeb"/>
              <w:rPr>
                <w:rFonts w:eastAsiaTheme="minorEastAsia"/>
              </w:rPr>
            </w:pPr>
            <w:r>
              <w:t xml:space="preserve">Submit data quality report showing </w:t>
            </w:r>
            <w:r>
              <w:lastRenderedPageBreak/>
              <w:t>numerator/denominator for each measure</w:t>
            </w:r>
          </w:p>
        </w:tc>
        <w:tc>
          <w:tcPr>
            <w:tcW w:w="2257" w:type="dxa"/>
          </w:tcPr>
          <w:p w14:paraId="0238839E" w14:textId="09A489D0" w:rsidR="2C5E02EF" w:rsidRDefault="1C45B506" w:rsidP="2C5E02EF">
            <w:pPr>
              <w:pStyle w:val="NormalWeb"/>
              <w:rPr>
                <w:rFonts w:eastAsiaTheme="minorEastAsia"/>
              </w:rPr>
            </w:pPr>
            <w:r>
              <w:lastRenderedPageBreak/>
              <w:t>CHI Data</w:t>
            </w:r>
          </w:p>
        </w:tc>
      </w:tr>
      <w:tr w:rsidR="2C5E02EF" w14:paraId="728F9EEE" w14:textId="77777777" w:rsidTr="24A8D1DB">
        <w:trPr>
          <w:trHeight w:val="300"/>
        </w:trPr>
        <w:tc>
          <w:tcPr>
            <w:tcW w:w="1800" w:type="dxa"/>
          </w:tcPr>
          <w:p w14:paraId="64258840" w14:textId="0F486A56" w:rsidR="61EB1778" w:rsidRDefault="61EB1778" w:rsidP="2C5E02EF">
            <w:pPr>
              <w:pStyle w:val="NormalWeb"/>
              <w:rPr>
                <w:b/>
                <w:bCs/>
              </w:rPr>
            </w:pPr>
            <w:r w:rsidRPr="24A8D1DB">
              <w:rPr>
                <w:b/>
                <w:bCs/>
              </w:rPr>
              <w:t xml:space="preserve">PROMs </w:t>
            </w:r>
          </w:p>
        </w:tc>
        <w:tc>
          <w:tcPr>
            <w:tcW w:w="2655" w:type="dxa"/>
          </w:tcPr>
          <w:p w14:paraId="7C5B4E34" w14:textId="0A595639" w:rsidR="2C5E02EF" w:rsidRDefault="650B3C56" w:rsidP="2C5E02EF">
            <w:pPr>
              <w:pStyle w:val="NormalWeb"/>
              <w:rPr>
                <w:rFonts w:eastAsiaTheme="minorEastAsia"/>
              </w:rPr>
            </w:pPr>
            <w:r>
              <w:t xml:space="preserve">Collection for </w:t>
            </w:r>
            <w:r w:rsidR="6A62688D">
              <w:t>≥70% of eligible</w:t>
            </w:r>
            <w:r w:rsidR="7F2B0FA6">
              <w:t xml:space="preserve"> </w:t>
            </w:r>
            <w:r w:rsidR="6A62688D">
              <w:t>cases</w:t>
            </w:r>
          </w:p>
        </w:tc>
        <w:tc>
          <w:tcPr>
            <w:tcW w:w="3201" w:type="dxa"/>
          </w:tcPr>
          <w:p w14:paraId="34F0D159" w14:textId="1D4C7E82" w:rsidR="2C5E02EF" w:rsidRDefault="7AECB1E7" w:rsidP="2C5E02EF">
            <w:pPr>
              <w:pStyle w:val="NormalWeb"/>
              <w:rPr>
                <w:rFonts w:eastAsiaTheme="minorEastAsia"/>
              </w:rPr>
            </w:pPr>
            <w:r>
              <w:t>Show PROMs response rates by quarter;</w:t>
            </w:r>
            <w:r w:rsidR="3DFE8CAF">
              <w:t xml:space="preserve"> </w:t>
            </w:r>
            <w:r>
              <w:t>implement improvement plan if below target</w:t>
            </w:r>
          </w:p>
        </w:tc>
        <w:tc>
          <w:tcPr>
            <w:tcW w:w="2257" w:type="dxa"/>
          </w:tcPr>
          <w:p w14:paraId="1026A1B1" w14:textId="6E807A08" w:rsidR="2C5E02EF" w:rsidRDefault="7AECB1E7" w:rsidP="2C5E02EF">
            <w:pPr>
              <w:pStyle w:val="NormalWeb"/>
              <w:rPr>
                <w:rFonts w:eastAsiaTheme="minorEastAsia"/>
              </w:rPr>
            </w:pPr>
            <w:r>
              <w:t>Quarterly</w:t>
            </w:r>
            <w:r w:rsidR="2B1FDEC0">
              <w:t xml:space="preserve"> </w:t>
            </w:r>
            <w:r>
              <w:t>reporting</w:t>
            </w:r>
          </w:p>
        </w:tc>
      </w:tr>
      <w:tr w:rsidR="2C5E02EF" w14:paraId="56BAE8B6" w14:textId="77777777" w:rsidTr="24A8D1DB">
        <w:trPr>
          <w:trHeight w:val="300"/>
        </w:trPr>
        <w:tc>
          <w:tcPr>
            <w:tcW w:w="1800" w:type="dxa"/>
          </w:tcPr>
          <w:p w14:paraId="5F7F56F7" w14:textId="02254127" w:rsidR="61EB1778" w:rsidRDefault="61EB1778" w:rsidP="2C5E02EF">
            <w:pPr>
              <w:pStyle w:val="NormalWeb"/>
              <w:rPr>
                <w:b/>
                <w:bCs/>
              </w:rPr>
            </w:pPr>
            <w:r w:rsidRPr="24A8D1DB">
              <w:rPr>
                <w:b/>
                <w:bCs/>
              </w:rPr>
              <w:t>Coding Accuracy</w:t>
            </w:r>
          </w:p>
        </w:tc>
        <w:tc>
          <w:tcPr>
            <w:tcW w:w="2655" w:type="dxa"/>
          </w:tcPr>
          <w:p w14:paraId="0B6E2B89" w14:textId="3B29B3C2" w:rsidR="2C5E02EF" w:rsidRDefault="44DFC345" w:rsidP="2C5E02EF">
            <w:pPr>
              <w:pStyle w:val="NormalWeb"/>
              <w:rPr>
                <w:rFonts w:eastAsiaTheme="minorEastAsia"/>
                <w:sz w:val="22"/>
                <w:szCs w:val="22"/>
              </w:rPr>
            </w:pPr>
            <w:r w:rsidRPr="24A8D1DB">
              <w:rPr>
                <w:sz w:val="22"/>
                <w:szCs w:val="22"/>
              </w:rPr>
              <w:t>±5% variance</w:t>
            </w:r>
          </w:p>
        </w:tc>
        <w:tc>
          <w:tcPr>
            <w:tcW w:w="3201" w:type="dxa"/>
          </w:tcPr>
          <w:p w14:paraId="7D3AE052" w14:textId="65B5262E" w:rsidR="2C5E02EF" w:rsidRDefault="79D09389" w:rsidP="2C5E02EF">
            <w:pPr>
              <w:pStyle w:val="NormalWeb"/>
              <w:rPr>
                <w:rFonts w:eastAsiaTheme="minorEastAsia"/>
                <w:sz w:val="22"/>
                <w:szCs w:val="22"/>
              </w:rPr>
            </w:pPr>
            <w:r w:rsidRPr="24A8D1DB">
              <w:rPr>
                <w:sz w:val="22"/>
                <w:szCs w:val="22"/>
              </w:rPr>
              <w:t xml:space="preserve">Complete external coding audit; </w:t>
            </w:r>
            <w:r w:rsidR="6EC4AC12" w:rsidRPr="24A8D1DB">
              <w:rPr>
                <w:sz w:val="22"/>
                <w:szCs w:val="22"/>
              </w:rPr>
              <w:t>implement coder</w:t>
            </w:r>
            <w:r w:rsidRPr="24A8D1DB">
              <w:rPr>
                <w:sz w:val="22"/>
                <w:szCs w:val="22"/>
              </w:rPr>
              <w:t xml:space="preserve"> training for discrepancies</w:t>
            </w:r>
          </w:p>
        </w:tc>
        <w:tc>
          <w:tcPr>
            <w:tcW w:w="2257" w:type="dxa"/>
          </w:tcPr>
          <w:p w14:paraId="4C393B75" w14:textId="349A01CF" w:rsidR="2C5E02EF" w:rsidRDefault="6B3D4676" w:rsidP="2C5E02EF">
            <w:pPr>
              <w:pStyle w:val="NormalWeb"/>
              <w:rPr>
                <w:rFonts w:eastAsiaTheme="minorEastAsia"/>
                <w:sz w:val="22"/>
                <w:szCs w:val="22"/>
              </w:rPr>
            </w:pPr>
            <w:r w:rsidRPr="24A8D1DB">
              <w:rPr>
                <w:sz w:val="22"/>
                <w:szCs w:val="22"/>
              </w:rPr>
              <w:t>Independent audit</w:t>
            </w:r>
            <w:r w:rsidR="7F9A932A" w:rsidRPr="24A8D1DB">
              <w:rPr>
                <w:sz w:val="22"/>
                <w:szCs w:val="22"/>
              </w:rPr>
              <w:t xml:space="preserve"> </w:t>
            </w:r>
            <w:r w:rsidRPr="24A8D1DB">
              <w:rPr>
                <w:sz w:val="22"/>
                <w:szCs w:val="22"/>
              </w:rPr>
              <w:t>firm</w:t>
            </w:r>
          </w:p>
        </w:tc>
      </w:tr>
      <w:tr w:rsidR="2C5E02EF" w14:paraId="69346B9A" w14:textId="77777777" w:rsidTr="24A8D1DB">
        <w:trPr>
          <w:trHeight w:val="300"/>
        </w:trPr>
        <w:tc>
          <w:tcPr>
            <w:tcW w:w="1800" w:type="dxa"/>
          </w:tcPr>
          <w:p w14:paraId="0E75F57F" w14:textId="47F9E52B" w:rsidR="61EB1778" w:rsidRDefault="61EB1778" w:rsidP="2C5E02EF">
            <w:pPr>
              <w:pStyle w:val="NormalWeb"/>
              <w:rPr>
                <w:b/>
                <w:bCs/>
              </w:rPr>
            </w:pPr>
            <w:r w:rsidRPr="24A8D1DB">
              <w:rPr>
                <w:b/>
                <w:bCs/>
              </w:rPr>
              <w:t>Outcome Performance</w:t>
            </w:r>
          </w:p>
        </w:tc>
        <w:tc>
          <w:tcPr>
            <w:tcW w:w="2655" w:type="dxa"/>
          </w:tcPr>
          <w:p w14:paraId="5143C726" w14:textId="4E1D3A5A" w:rsidR="2C5E02EF" w:rsidRDefault="275A7127" w:rsidP="2C5E02EF">
            <w:pPr>
              <w:pStyle w:val="NormalWeb"/>
              <w:rPr>
                <w:rFonts w:eastAsiaTheme="minorEastAsia"/>
                <w:sz w:val="22"/>
                <w:szCs w:val="22"/>
              </w:rPr>
            </w:pPr>
            <w:r w:rsidRPr="24A8D1DB">
              <w:rPr>
                <w:sz w:val="22"/>
                <w:szCs w:val="22"/>
              </w:rPr>
              <w:t>No signifi</w:t>
            </w:r>
            <w:r w:rsidR="5D43DE64" w:rsidRPr="24A8D1DB">
              <w:rPr>
                <w:sz w:val="22"/>
                <w:szCs w:val="22"/>
              </w:rPr>
              <w:t>cant deterioration</w:t>
            </w:r>
          </w:p>
        </w:tc>
        <w:tc>
          <w:tcPr>
            <w:tcW w:w="3201" w:type="dxa"/>
          </w:tcPr>
          <w:p w14:paraId="52A32E1B" w14:textId="4CDB1854" w:rsidR="2C5E02EF" w:rsidRDefault="534CF478" w:rsidP="2C5E02EF">
            <w:pPr>
              <w:pStyle w:val="NormalWeb"/>
              <w:rPr>
                <w:rFonts w:eastAsiaTheme="minorEastAsia"/>
                <w:sz w:val="22"/>
                <w:szCs w:val="22"/>
              </w:rPr>
            </w:pPr>
            <w:r w:rsidRPr="24A8D1DB">
              <w:rPr>
                <w:sz w:val="22"/>
                <w:szCs w:val="22"/>
              </w:rPr>
              <w:t xml:space="preserve">Present risk-adjusted outcome trends </w:t>
            </w:r>
            <w:r w:rsidR="609F2B07" w:rsidRPr="24A8D1DB">
              <w:rPr>
                <w:sz w:val="22"/>
                <w:szCs w:val="22"/>
              </w:rPr>
              <w:t>vs. Baseline</w:t>
            </w:r>
            <w:r w:rsidRPr="24A8D1DB">
              <w:rPr>
                <w:sz w:val="22"/>
                <w:szCs w:val="22"/>
              </w:rPr>
              <w:t>; investigate any adverse signals</w:t>
            </w:r>
          </w:p>
        </w:tc>
        <w:tc>
          <w:tcPr>
            <w:tcW w:w="2257" w:type="dxa"/>
          </w:tcPr>
          <w:p w14:paraId="511680A6" w14:textId="09E6C0C4" w:rsidR="2C5E02EF" w:rsidRDefault="1A8EC579" w:rsidP="2C5E02EF">
            <w:pPr>
              <w:pStyle w:val="NormalWeb"/>
              <w:rPr>
                <w:rFonts w:eastAsiaTheme="minorEastAsia"/>
                <w:sz w:val="22"/>
                <w:szCs w:val="22"/>
              </w:rPr>
            </w:pPr>
            <w:r w:rsidRPr="24A8D1DB">
              <w:rPr>
                <w:sz w:val="22"/>
                <w:szCs w:val="22"/>
              </w:rPr>
              <w:t>Statistical analysis</w:t>
            </w:r>
            <w:r w:rsidR="1145CAD7" w:rsidRPr="24A8D1DB">
              <w:rPr>
                <w:sz w:val="22"/>
                <w:szCs w:val="22"/>
              </w:rPr>
              <w:t xml:space="preserve"> </w:t>
            </w:r>
            <w:r w:rsidRPr="24A8D1DB">
              <w:rPr>
                <w:sz w:val="22"/>
                <w:szCs w:val="22"/>
              </w:rPr>
              <w:t>by CHI</w:t>
            </w:r>
          </w:p>
        </w:tc>
      </w:tr>
      <w:tr w:rsidR="2C5E02EF" w14:paraId="622BD5EF" w14:textId="77777777" w:rsidTr="24A8D1DB">
        <w:trPr>
          <w:trHeight w:val="300"/>
        </w:trPr>
        <w:tc>
          <w:tcPr>
            <w:tcW w:w="1800" w:type="dxa"/>
          </w:tcPr>
          <w:p w14:paraId="6D05A4FA" w14:textId="5E2BD124" w:rsidR="61EB1778" w:rsidRDefault="61EB1778" w:rsidP="2C5E02EF">
            <w:pPr>
              <w:pStyle w:val="NormalWeb"/>
              <w:rPr>
                <w:b/>
                <w:bCs/>
              </w:rPr>
            </w:pPr>
            <w:r w:rsidRPr="24A8D1DB">
              <w:rPr>
                <w:b/>
                <w:bCs/>
              </w:rPr>
              <w:t>Governance</w:t>
            </w:r>
          </w:p>
        </w:tc>
        <w:tc>
          <w:tcPr>
            <w:tcW w:w="2655" w:type="dxa"/>
          </w:tcPr>
          <w:p w14:paraId="79DAE475" w14:textId="64E3BB2C" w:rsidR="2C5E02EF" w:rsidRDefault="322DCCE6" w:rsidP="2C5E02EF">
            <w:pPr>
              <w:pStyle w:val="NormalWeb"/>
              <w:rPr>
                <w:rFonts w:eastAsiaTheme="minorEastAsia"/>
                <w:sz w:val="20"/>
                <w:szCs w:val="20"/>
              </w:rPr>
            </w:pPr>
            <w:r w:rsidRPr="24A8D1DB">
              <w:rPr>
                <w:sz w:val="22"/>
                <w:szCs w:val="22"/>
              </w:rPr>
              <w:t>Named VBC lead (has access to business owners such as medical team, finance and others)</w:t>
            </w:r>
          </w:p>
        </w:tc>
        <w:tc>
          <w:tcPr>
            <w:tcW w:w="3201" w:type="dxa"/>
          </w:tcPr>
          <w:p w14:paraId="48C98C3D" w14:textId="753F7AF9" w:rsidR="2C5E02EF" w:rsidRDefault="322DCCE6" w:rsidP="2C5E02EF">
            <w:pPr>
              <w:pStyle w:val="NormalWeb"/>
              <w:rPr>
                <w:rFonts w:eastAsiaTheme="minorEastAsia"/>
                <w:sz w:val="20"/>
                <w:szCs w:val="20"/>
              </w:rPr>
            </w:pPr>
            <w:r w:rsidRPr="24A8D1DB">
              <w:rPr>
                <w:sz w:val="22"/>
                <w:szCs w:val="22"/>
              </w:rPr>
              <w:t>Provide role description, authority matrix, and reporting structure</w:t>
            </w:r>
          </w:p>
        </w:tc>
        <w:tc>
          <w:tcPr>
            <w:tcW w:w="2257" w:type="dxa"/>
          </w:tcPr>
          <w:p w14:paraId="1D3CEDCC" w14:textId="57936F97" w:rsidR="2C5E02EF" w:rsidRDefault="2C5E02EF" w:rsidP="2C5E02EF">
            <w:pPr>
              <w:pStyle w:val="NormalWeb"/>
              <w:rPr>
                <w:rFonts w:eastAsiaTheme="minorEastAsia"/>
                <w:sz w:val="22"/>
                <w:szCs w:val="22"/>
              </w:rPr>
            </w:pPr>
          </w:p>
        </w:tc>
      </w:tr>
      <w:tr w:rsidR="2C5E02EF" w14:paraId="3028A6F9" w14:textId="77777777" w:rsidTr="24A8D1DB">
        <w:trPr>
          <w:trHeight w:val="300"/>
        </w:trPr>
        <w:tc>
          <w:tcPr>
            <w:tcW w:w="1800" w:type="dxa"/>
          </w:tcPr>
          <w:p w14:paraId="4DC39F28" w14:textId="58CE27AC" w:rsidR="61EB1778" w:rsidRDefault="61EB1778" w:rsidP="2C5E02EF">
            <w:pPr>
              <w:pStyle w:val="NormalWeb"/>
              <w:rPr>
                <w:b/>
                <w:bCs/>
              </w:rPr>
            </w:pPr>
            <w:r w:rsidRPr="24A8D1DB">
              <w:rPr>
                <w:b/>
                <w:bCs/>
              </w:rPr>
              <w:t>Care Pathway</w:t>
            </w:r>
          </w:p>
        </w:tc>
        <w:tc>
          <w:tcPr>
            <w:tcW w:w="2655" w:type="dxa"/>
          </w:tcPr>
          <w:p w14:paraId="2FBE75C0" w14:textId="32E0B6CF" w:rsidR="2C5E02EF" w:rsidRDefault="18EB16AB" w:rsidP="2C5E02EF">
            <w:pPr>
              <w:pStyle w:val="NormalWeb"/>
              <w:rPr>
                <w:rFonts w:eastAsiaTheme="minorEastAsia"/>
              </w:rPr>
            </w:pPr>
            <w:r>
              <w:t>Documented protocol</w:t>
            </w:r>
          </w:p>
        </w:tc>
        <w:tc>
          <w:tcPr>
            <w:tcW w:w="3201" w:type="dxa"/>
          </w:tcPr>
          <w:p w14:paraId="5D79FADC" w14:textId="0AFAE0C1" w:rsidR="2C5E02EF" w:rsidRDefault="56ECBB25" w:rsidP="2C5E02EF">
            <w:pPr>
              <w:pStyle w:val="NormalWeb"/>
              <w:rPr>
                <w:rFonts w:eastAsiaTheme="minorEastAsia"/>
              </w:rPr>
            </w:pPr>
            <w:r>
              <w:t>Submit clinical pathway document showing decision points, roles, timing</w:t>
            </w:r>
          </w:p>
        </w:tc>
        <w:tc>
          <w:tcPr>
            <w:tcW w:w="2257" w:type="dxa"/>
          </w:tcPr>
          <w:p w14:paraId="3DA4CDA5" w14:textId="727B7099" w:rsidR="2C5E02EF" w:rsidRDefault="066D1484" w:rsidP="2C5E02EF">
            <w:pPr>
              <w:pStyle w:val="NormalWeb"/>
              <w:rPr>
                <w:rFonts w:eastAsiaTheme="minorEastAsia"/>
              </w:rPr>
            </w:pPr>
            <w:r>
              <w:t>Clinical review</w:t>
            </w:r>
          </w:p>
        </w:tc>
      </w:tr>
      <w:tr w:rsidR="2C5E02EF" w14:paraId="49786225" w14:textId="77777777" w:rsidTr="24A8D1DB">
        <w:trPr>
          <w:trHeight w:val="300"/>
        </w:trPr>
        <w:tc>
          <w:tcPr>
            <w:tcW w:w="1800" w:type="dxa"/>
          </w:tcPr>
          <w:p w14:paraId="2245D6CC" w14:textId="3E751B52" w:rsidR="61EB1778" w:rsidRDefault="61EB1778" w:rsidP="2C5E02EF">
            <w:pPr>
              <w:pStyle w:val="NormalWeb"/>
              <w:rPr>
                <w:b/>
                <w:bCs/>
              </w:rPr>
            </w:pPr>
            <w:r w:rsidRPr="24A8D1DB">
              <w:rPr>
                <w:b/>
                <w:bCs/>
              </w:rPr>
              <w:t>Settlement Compliance</w:t>
            </w:r>
          </w:p>
        </w:tc>
        <w:tc>
          <w:tcPr>
            <w:tcW w:w="2655" w:type="dxa"/>
          </w:tcPr>
          <w:p w14:paraId="4FFDEC67" w14:textId="4BE1BC18" w:rsidR="2C5E02EF" w:rsidRDefault="2C70038E" w:rsidP="2C5E02EF">
            <w:pPr>
              <w:pStyle w:val="NormalWeb"/>
              <w:rPr>
                <w:rFonts w:eastAsiaTheme="minorEastAsia"/>
              </w:rPr>
            </w:pPr>
            <w:r>
              <w:t>100% on-time submissions</w:t>
            </w:r>
          </w:p>
        </w:tc>
        <w:tc>
          <w:tcPr>
            <w:tcW w:w="3201" w:type="dxa"/>
          </w:tcPr>
          <w:p w14:paraId="43B72A03" w14:textId="2055AB51" w:rsidR="2C5E02EF" w:rsidRDefault="5BC2B879" w:rsidP="2C5E02EF">
            <w:pPr>
              <w:pStyle w:val="NormalWeb"/>
              <w:rPr>
                <w:rFonts w:eastAsiaTheme="minorEastAsia"/>
              </w:rPr>
            </w:pPr>
            <w:r w:rsidRPr="24A8D1DB">
              <w:rPr>
                <w:highlight w:val="cyan"/>
              </w:rPr>
              <w:t>Zero</w:t>
            </w:r>
            <w:r>
              <w:t xml:space="preserve"> late submissions in past 12 months</w:t>
            </w:r>
          </w:p>
        </w:tc>
        <w:tc>
          <w:tcPr>
            <w:tcW w:w="2257" w:type="dxa"/>
          </w:tcPr>
          <w:p w14:paraId="57F027FE" w14:textId="5110EF55" w:rsidR="2C5E02EF" w:rsidRDefault="1953CB8F" w:rsidP="2C5E02EF">
            <w:pPr>
              <w:pStyle w:val="NormalWeb"/>
              <w:rPr>
                <w:rFonts w:eastAsiaTheme="minorEastAsia"/>
              </w:rPr>
            </w:pPr>
            <w:proofErr w:type="gramStart"/>
            <w:r>
              <w:t>Regulator</w:t>
            </w:r>
            <w:proofErr w:type="gramEnd"/>
            <w:r>
              <w:t xml:space="preserve"> tracking</w:t>
            </w:r>
          </w:p>
        </w:tc>
      </w:tr>
      <w:tr w:rsidR="2C5E02EF" w14:paraId="0244DDA6" w14:textId="77777777" w:rsidTr="24A8D1DB">
        <w:trPr>
          <w:trHeight w:val="300"/>
        </w:trPr>
        <w:tc>
          <w:tcPr>
            <w:tcW w:w="1800" w:type="dxa"/>
          </w:tcPr>
          <w:p w14:paraId="46A3CAB2" w14:textId="6F51E33D" w:rsidR="61EB1778" w:rsidRDefault="61EB1778" w:rsidP="2C5E02EF">
            <w:pPr>
              <w:pStyle w:val="NormalWeb"/>
              <w:rPr>
                <w:b/>
                <w:bCs/>
              </w:rPr>
            </w:pPr>
            <w:r w:rsidRPr="24A8D1DB">
              <w:rPr>
                <w:b/>
                <w:bCs/>
              </w:rPr>
              <w:t>Contracting</w:t>
            </w:r>
          </w:p>
        </w:tc>
        <w:tc>
          <w:tcPr>
            <w:tcW w:w="2655" w:type="dxa"/>
          </w:tcPr>
          <w:p w14:paraId="129C4DC7" w14:textId="238F508D" w:rsidR="2C5E02EF" w:rsidRDefault="7CE19E13" w:rsidP="2C5E02EF">
            <w:pPr>
              <w:pStyle w:val="NormalWeb"/>
              <w:rPr>
                <w:rFonts w:eastAsiaTheme="minorEastAsia"/>
              </w:rPr>
            </w:pPr>
            <w:r>
              <w:t>Agreement</w:t>
            </w:r>
          </w:p>
        </w:tc>
        <w:tc>
          <w:tcPr>
            <w:tcW w:w="3201" w:type="dxa"/>
          </w:tcPr>
          <w:p w14:paraId="30011277" w14:textId="669BFF53" w:rsidR="2C5E02EF" w:rsidRDefault="3937BC5F" w:rsidP="2C5E02EF">
            <w:pPr>
              <w:pStyle w:val="NormalWeb"/>
              <w:rPr>
                <w:rFonts w:eastAsiaTheme="minorEastAsia"/>
              </w:rPr>
            </w:pPr>
            <w:r>
              <w:t xml:space="preserve">Signed methodology addendum covering </w:t>
            </w:r>
            <w:r w:rsidR="0F7930EA">
              <w:t>risk adjustment</w:t>
            </w:r>
            <w:r>
              <w:t>, benchmarking, MSR</w:t>
            </w:r>
          </w:p>
        </w:tc>
        <w:tc>
          <w:tcPr>
            <w:tcW w:w="2257" w:type="dxa"/>
          </w:tcPr>
          <w:p w14:paraId="34FD3161" w14:textId="166CE927" w:rsidR="2C5E02EF" w:rsidRDefault="052941F0" w:rsidP="2C5E02EF">
            <w:pPr>
              <w:pStyle w:val="NormalWeb"/>
              <w:rPr>
                <w:rFonts w:eastAsiaTheme="minorEastAsia"/>
              </w:rPr>
            </w:pPr>
            <w:r>
              <w:t>Contract review</w:t>
            </w:r>
          </w:p>
        </w:tc>
      </w:tr>
    </w:tbl>
    <w:p w14:paraId="4B22803F" w14:textId="7209D2B5" w:rsidR="3259D984" w:rsidRDefault="3259D984" w:rsidP="3259D984">
      <w:pPr>
        <w:pStyle w:val="NormalWeb"/>
        <w:rPr>
          <w:rFonts w:asciiTheme="minorHAnsi" w:eastAsiaTheme="minorEastAsia" w:hAnsiTheme="minorHAnsi" w:cstheme="minorBidi"/>
          <w:b/>
          <w:bCs/>
          <w:highlight w:val="yellow"/>
        </w:rPr>
      </w:pPr>
    </w:p>
    <w:tbl>
      <w:tblPr>
        <w:tblStyle w:val="TableGrid"/>
        <w:tblW w:w="0" w:type="auto"/>
        <w:tblLook w:val="04A0" w:firstRow="1" w:lastRow="0" w:firstColumn="1" w:lastColumn="0" w:noHBand="0" w:noVBand="1"/>
      </w:tblPr>
      <w:tblGrid>
        <w:gridCol w:w="4956"/>
        <w:gridCol w:w="4957"/>
      </w:tblGrid>
      <w:tr w:rsidR="00F93662" w14:paraId="5BE63239" w14:textId="77777777" w:rsidTr="2CD5189A">
        <w:tc>
          <w:tcPr>
            <w:tcW w:w="4956" w:type="dxa"/>
          </w:tcPr>
          <w:p w14:paraId="7CB63428" w14:textId="501243F0" w:rsidR="00F93662" w:rsidRDefault="00F93662" w:rsidP="0DACE1A3">
            <w:pPr>
              <w:rPr>
                <w:b/>
                <w:bCs/>
                <w:color w:val="153D63" w:themeColor="text2" w:themeTint="E6"/>
              </w:rPr>
            </w:pPr>
            <w:commentRangeStart w:id="13"/>
            <w:r w:rsidRPr="0DACE1A3">
              <w:rPr>
                <w:b/>
                <w:bCs/>
                <w:color w:val="153D63" w:themeColor="text2" w:themeTint="E6"/>
              </w:rPr>
              <w:t>Gating criteria to move from Phase 1 → Phase 2</w:t>
            </w:r>
            <w:commentRangeEnd w:id="13"/>
            <w:r>
              <w:rPr>
                <w:rStyle w:val="CommentReference"/>
                <w:b/>
                <w:bCs/>
                <w:color w:val="153D63" w:themeColor="text2" w:themeTint="E6"/>
                <w:sz w:val="24"/>
                <w:szCs w:val="24"/>
              </w:rPr>
              <w:commentReference w:id="13"/>
            </w:r>
          </w:p>
          <w:p w14:paraId="3807066A" w14:textId="6F152EF9" w:rsidR="00F93662" w:rsidRPr="00F93662" w:rsidRDefault="00F93662" w:rsidP="2713411B">
            <w:pPr>
              <w:pStyle w:val="NormalWeb"/>
              <w:rPr>
                <w:rFonts w:ascii="Calibri" w:hAnsi="Calibri" w:cs="Calibri"/>
                <w:b/>
                <w:bCs/>
                <w:i/>
                <w:iCs/>
              </w:rPr>
            </w:pPr>
            <w:r w:rsidRPr="2713411B">
              <w:rPr>
                <w:rFonts w:ascii="Calibri" w:hAnsi="Calibri" w:cs="Calibri"/>
                <w:b/>
                <w:bCs/>
                <w:i/>
                <w:iCs/>
              </w:rPr>
              <w:t>(Measure &amp; Validate → Shared Accountability)</w:t>
            </w:r>
          </w:p>
        </w:tc>
        <w:tc>
          <w:tcPr>
            <w:tcW w:w="4957" w:type="dxa"/>
          </w:tcPr>
          <w:p w14:paraId="7CC67F37" w14:textId="58DE8AA2" w:rsidR="00F93662" w:rsidRDefault="00F93662" w:rsidP="0DACE1A3">
            <w:pPr>
              <w:rPr>
                <w:b/>
                <w:bCs/>
                <w:color w:val="153D63" w:themeColor="text2" w:themeTint="E6"/>
              </w:rPr>
            </w:pPr>
            <w:r w:rsidRPr="0DACE1A3">
              <w:rPr>
                <w:b/>
                <w:bCs/>
                <w:color w:val="153D63" w:themeColor="text2" w:themeTint="E6"/>
              </w:rPr>
              <w:t>Gating criteria to move from Phase 2 → Phase 3</w:t>
            </w:r>
          </w:p>
          <w:p w14:paraId="008DD30C" w14:textId="1C69BF43" w:rsidR="00F93662" w:rsidRDefault="00F93662" w:rsidP="00E05477">
            <w:pPr>
              <w:pStyle w:val="NormalWeb"/>
              <w:rPr>
                <w:rFonts w:ascii="Calibri" w:hAnsi="Calibri" w:cs="Calibri"/>
                <w:b/>
                <w:bCs/>
              </w:rPr>
            </w:pPr>
            <w:r>
              <w:t>(</w:t>
            </w:r>
            <w:r w:rsidRPr="00F93662">
              <w:rPr>
                <w:rFonts w:ascii="Calibri" w:hAnsi="Calibri" w:cs="Calibri"/>
                <w:b/>
                <w:bCs/>
                <w:i/>
                <w:iCs/>
              </w:rPr>
              <w:t>Shared Accountability → Full Ownership)</w:t>
            </w:r>
          </w:p>
        </w:tc>
      </w:tr>
      <w:tr w:rsidR="00F93662" w14:paraId="716C98D0" w14:textId="77777777" w:rsidTr="2CD5189A">
        <w:tc>
          <w:tcPr>
            <w:tcW w:w="4956" w:type="dxa"/>
          </w:tcPr>
          <w:p w14:paraId="39BA37B1" w14:textId="77777777" w:rsidR="00F93662" w:rsidRPr="00094795" w:rsidRDefault="1CC3AFE3" w:rsidP="2CD5189A">
            <w:pPr>
              <w:pStyle w:val="NormalWeb"/>
              <w:spacing w:before="0" w:beforeAutospacing="0" w:after="0" w:afterAutospacing="0"/>
              <w:rPr>
                <w:rFonts w:ascii="Calibri" w:hAnsi="Calibri" w:cs="Calibri"/>
                <w:b/>
                <w:bCs/>
              </w:rPr>
            </w:pPr>
            <w:r w:rsidRPr="2CD5189A">
              <w:rPr>
                <w:rFonts w:ascii="Calibri" w:hAnsi="Calibri" w:cs="Calibri"/>
                <w:b/>
                <w:bCs/>
              </w:rPr>
              <w:t>A. Data &amp; Measurement Readiness</w:t>
            </w:r>
          </w:p>
          <w:p w14:paraId="37F754EC" w14:textId="77777777" w:rsidR="00F93662" w:rsidRPr="004F7BEC" w:rsidRDefault="00F93662" w:rsidP="00DE5532">
            <w:pPr>
              <w:pStyle w:val="NormalWeb"/>
              <w:numPr>
                <w:ilvl w:val="0"/>
                <w:numId w:val="10"/>
              </w:numPr>
              <w:spacing w:before="0" w:beforeAutospacing="0" w:after="0" w:afterAutospacing="0"/>
              <w:rPr>
                <w:rFonts w:ascii="Calibri" w:hAnsi="Calibri" w:cs="Calibri"/>
              </w:rPr>
            </w:pPr>
            <w:r w:rsidRPr="004F7BEC">
              <w:rPr>
                <w:rFonts w:ascii="Calibri" w:hAnsi="Calibri" w:cs="Calibri"/>
              </w:rPr>
              <w:t>≥85% completeness in required outcome measures</w:t>
            </w:r>
          </w:p>
          <w:p w14:paraId="2681B07C" w14:textId="67C52627" w:rsidR="00F93662" w:rsidRPr="004F7BEC" w:rsidRDefault="00F93662" w:rsidP="00DE5532">
            <w:pPr>
              <w:pStyle w:val="NormalWeb"/>
              <w:numPr>
                <w:ilvl w:val="0"/>
                <w:numId w:val="10"/>
              </w:numPr>
              <w:spacing w:before="0" w:beforeAutospacing="0" w:after="0" w:afterAutospacing="0"/>
              <w:rPr>
                <w:rFonts w:ascii="Calibri" w:hAnsi="Calibri" w:cs="Calibri"/>
              </w:rPr>
            </w:pPr>
            <w:r w:rsidRPr="004F7BEC">
              <w:rPr>
                <w:rFonts w:ascii="Calibri" w:hAnsi="Calibri" w:cs="Calibri"/>
              </w:rPr>
              <w:t>PROMs collected for ≥70% of eligible cases</w:t>
            </w:r>
            <w:r w:rsidRPr="00F93662">
              <w:rPr>
                <w:rFonts w:ascii="Calibri" w:hAnsi="Calibri" w:cs="Calibri"/>
                <w:highlight w:val="yellow"/>
              </w:rPr>
              <w:t xml:space="preserve"> </w:t>
            </w:r>
            <w:r>
              <w:rPr>
                <w:rFonts w:ascii="Calibri" w:hAnsi="Calibri" w:cs="Calibri"/>
                <w:highlight w:val="yellow"/>
              </w:rPr>
              <w:t>(</w:t>
            </w:r>
            <w:r w:rsidRPr="00F93662">
              <w:rPr>
                <w:rFonts w:ascii="Calibri" w:hAnsi="Calibri" w:cs="Calibri"/>
                <w:highlight w:val="yellow"/>
              </w:rPr>
              <w:t xml:space="preserve">To be checked with </w:t>
            </w:r>
            <w:r>
              <w:rPr>
                <w:rFonts w:ascii="Calibri" w:hAnsi="Calibri" w:cs="Calibri"/>
                <w:highlight w:val="yellow"/>
              </w:rPr>
              <w:t>PRM</w:t>
            </w:r>
            <w:r w:rsidRPr="00F93662">
              <w:rPr>
                <w:rFonts w:ascii="Calibri" w:hAnsi="Calibri" w:cs="Calibri"/>
                <w:highlight w:val="yellow"/>
              </w:rPr>
              <w:t xml:space="preserve"> team)</w:t>
            </w:r>
          </w:p>
          <w:p w14:paraId="585C5B37" w14:textId="77777777" w:rsidR="00F93662" w:rsidRPr="004F7BEC" w:rsidRDefault="00F93662" w:rsidP="00DE5532">
            <w:pPr>
              <w:pStyle w:val="NormalWeb"/>
              <w:numPr>
                <w:ilvl w:val="0"/>
                <w:numId w:val="10"/>
              </w:numPr>
              <w:spacing w:before="0" w:beforeAutospacing="0" w:after="0" w:afterAutospacing="0"/>
              <w:rPr>
                <w:rFonts w:ascii="Calibri" w:hAnsi="Calibri" w:cs="Calibri"/>
              </w:rPr>
            </w:pPr>
            <w:r w:rsidRPr="004F7BEC">
              <w:rPr>
                <w:rFonts w:ascii="Calibri" w:hAnsi="Calibri" w:cs="Calibri"/>
              </w:rPr>
              <w:t>Coding accuracy within acceptable audit variance (e.g., ±5%)</w:t>
            </w:r>
            <w:r>
              <w:rPr>
                <w:rFonts w:ascii="Calibri" w:hAnsi="Calibri" w:cs="Calibri"/>
              </w:rPr>
              <w:t>. (</w:t>
            </w:r>
            <w:r w:rsidRPr="00F93662">
              <w:rPr>
                <w:rFonts w:ascii="Calibri" w:hAnsi="Calibri" w:cs="Calibri"/>
                <w:highlight w:val="yellow"/>
              </w:rPr>
              <w:t>To be checked with HIM team)</w:t>
            </w:r>
          </w:p>
          <w:p w14:paraId="6A242279" w14:textId="77777777" w:rsidR="00F93662" w:rsidRPr="00094795" w:rsidRDefault="00F93662" w:rsidP="00F93662">
            <w:pPr>
              <w:pStyle w:val="NormalWeb"/>
              <w:spacing w:before="0" w:beforeAutospacing="0" w:after="0" w:afterAutospacing="0"/>
              <w:rPr>
                <w:rFonts w:ascii="Calibri" w:hAnsi="Calibri" w:cs="Calibri"/>
                <w:b/>
                <w:bCs/>
              </w:rPr>
            </w:pPr>
            <w:r w:rsidRPr="00094795">
              <w:rPr>
                <w:rFonts w:ascii="Calibri" w:hAnsi="Calibri" w:cs="Calibri"/>
                <w:b/>
                <w:bCs/>
              </w:rPr>
              <w:t>B. Performance Stability</w:t>
            </w:r>
          </w:p>
          <w:p w14:paraId="074B5F77" w14:textId="0680FBC2" w:rsidR="00F93662" w:rsidRPr="00F93662" w:rsidRDefault="00F93662" w:rsidP="00DE5532">
            <w:pPr>
              <w:pStyle w:val="NormalWeb"/>
              <w:numPr>
                <w:ilvl w:val="0"/>
                <w:numId w:val="10"/>
              </w:numPr>
              <w:spacing w:before="0" w:beforeAutospacing="0" w:after="0" w:afterAutospacing="0"/>
              <w:rPr>
                <w:rFonts w:ascii="Calibri" w:hAnsi="Calibri" w:cs="Calibri"/>
              </w:rPr>
            </w:pPr>
            <w:r w:rsidRPr="2713411B">
              <w:t xml:space="preserve">Risk-adjusted outcome indicators do not demonstrate </w:t>
            </w:r>
            <w:r w:rsidR="00AE3981" w:rsidRPr="2713411B">
              <w:t>statistically,</w:t>
            </w:r>
            <w:r w:rsidRPr="2713411B">
              <w:t xml:space="preserve"> or </w:t>
            </w:r>
            <w:r w:rsidR="00780889" w:rsidRPr="2713411B">
              <w:t>clinically</w:t>
            </w:r>
            <w:r w:rsidRPr="2713411B">
              <w:t xml:space="preserve"> significant deterioration compared to the agreed baseline period.</w:t>
            </w:r>
          </w:p>
          <w:p w14:paraId="719A1418" w14:textId="77777777" w:rsidR="00F93662" w:rsidRDefault="00F93662" w:rsidP="00DE5532">
            <w:pPr>
              <w:pStyle w:val="NormalWeb"/>
              <w:numPr>
                <w:ilvl w:val="0"/>
                <w:numId w:val="10"/>
              </w:numPr>
              <w:spacing w:before="0" w:beforeAutospacing="0" w:after="0" w:afterAutospacing="0"/>
              <w:rPr>
                <w:rFonts w:ascii="Calibri" w:hAnsi="Calibri" w:cs="Calibri"/>
              </w:rPr>
            </w:pPr>
            <w:r w:rsidRPr="004F7BEC">
              <w:rPr>
                <w:rFonts w:ascii="Calibri" w:hAnsi="Calibri" w:cs="Calibri"/>
              </w:rPr>
              <w:lastRenderedPageBreak/>
              <w:t>Readmission/complication rates within expected risk-adjusted ranges</w:t>
            </w:r>
          </w:p>
          <w:p w14:paraId="6A2144F3" w14:textId="228B9941" w:rsidR="00094795" w:rsidRPr="00094795" w:rsidRDefault="00094795" w:rsidP="00DE5532">
            <w:pPr>
              <w:pStyle w:val="ListParagraph"/>
              <w:numPr>
                <w:ilvl w:val="0"/>
                <w:numId w:val="10"/>
              </w:numPr>
              <w:rPr>
                <w:rFonts w:ascii="Calibri" w:eastAsia="Times New Roman" w:hAnsi="Calibri" w:cs="Calibri"/>
                <w:kern w:val="0"/>
                <w14:ligatures w14:val="none"/>
              </w:rPr>
            </w:pPr>
            <w:r w:rsidRPr="00094795">
              <w:rPr>
                <w:rFonts w:ascii="Calibri" w:eastAsia="Times New Roman" w:hAnsi="Calibri" w:cs="Calibri"/>
                <w:kern w:val="0"/>
                <w14:ligatures w14:val="none"/>
              </w:rPr>
              <w:t>Settlement frequency, data cut-off points, and reconciliation rules</w:t>
            </w:r>
            <w:r>
              <w:rPr>
                <w:rFonts w:ascii="Calibri" w:eastAsia="Times New Roman" w:hAnsi="Calibri" w:cs="Calibri"/>
                <w:kern w:val="0"/>
                <w14:ligatures w14:val="none"/>
              </w:rPr>
              <w:t xml:space="preserve"> were met.</w:t>
            </w:r>
          </w:p>
          <w:p w14:paraId="3F01E1F1" w14:textId="77777777" w:rsidR="00F93662" w:rsidRPr="00094795" w:rsidRDefault="00F93662" w:rsidP="00F93662">
            <w:pPr>
              <w:pStyle w:val="NormalWeb"/>
              <w:spacing w:before="0" w:beforeAutospacing="0" w:after="0" w:afterAutospacing="0"/>
              <w:rPr>
                <w:rFonts w:ascii="Calibri" w:hAnsi="Calibri" w:cs="Calibri"/>
                <w:b/>
                <w:bCs/>
              </w:rPr>
            </w:pPr>
            <w:r w:rsidRPr="00094795">
              <w:rPr>
                <w:rFonts w:ascii="Calibri" w:hAnsi="Calibri" w:cs="Calibri"/>
                <w:b/>
                <w:bCs/>
              </w:rPr>
              <w:t>C. Governance &amp; Capability provided by the provider has:</w:t>
            </w:r>
          </w:p>
          <w:p w14:paraId="4645B2BE" w14:textId="77777777" w:rsidR="00F93662" w:rsidRPr="004F7BEC" w:rsidRDefault="00F93662" w:rsidP="00DE5532">
            <w:pPr>
              <w:pStyle w:val="NormalWeb"/>
              <w:numPr>
                <w:ilvl w:val="0"/>
                <w:numId w:val="10"/>
              </w:numPr>
              <w:spacing w:before="0" w:beforeAutospacing="0" w:after="0" w:afterAutospacing="0"/>
              <w:rPr>
                <w:rFonts w:ascii="Calibri" w:hAnsi="Calibri" w:cs="Calibri"/>
              </w:rPr>
            </w:pPr>
            <w:r w:rsidRPr="004F7BEC">
              <w:rPr>
                <w:rFonts w:ascii="Calibri" w:hAnsi="Calibri" w:cs="Calibri"/>
              </w:rPr>
              <w:t>Named VBC clinical lead</w:t>
            </w:r>
          </w:p>
          <w:p w14:paraId="7AE6F4D8" w14:textId="77777777" w:rsidR="00F93662" w:rsidRPr="004F7BEC" w:rsidRDefault="00F93662" w:rsidP="00DE5532">
            <w:pPr>
              <w:pStyle w:val="NormalWeb"/>
              <w:numPr>
                <w:ilvl w:val="0"/>
                <w:numId w:val="10"/>
              </w:numPr>
              <w:spacing w:before="0" w:beforeAutospacing="0" w:after="0" w:afterAutospacing="0"/>
              <w:rPr>
                <w:rFonts w:ascii="Calibri" w:hAnsi="Calibri" w:cs="Calibri"/>
              </w:rPr>
            </w:pPr>
            <w:r w:rsidRPr="004F7BEC">
              <w:rPr>
                <w:rFonts w:ascii="Calibri" w:hAnsi="Calibri" w:cs="Calibri"/>
              </w:rPr>
              <w:t>Internal performance review process</w:t>
            </w:r>
          </w:p>
          <w:p w14:paraId="094BE9CC" w14:textId="77777777" w:rsidR="00F93662" w:rsidRPr="004F7BEC" w:rsidRDefault="00F93662" w:rsidP="00DE5532">
            <w:pPr>
              <w:pStyle w:val="NormalWeb"/>
              <w:numPr>
                <w:ilvl w:val="0"/>
                <w:numId w:val="10"/>
              </w:numPr>
              <w:spacing w:before="0" w:beforeAutospacing="0" w:after="0" w:afterAutospacing="0"/>
              <w:rPr>
                <w:rFonts w:ascii="Calibri" w:hAnsi="Calibri" w:cs="Calibri"/>
              </w:rPr>
            </w:pPr>
            <w:r w:rsidRPr="004F7BEC">
              <w:rPr>
                <w:rFonts w:ascii="Calibri" w:hAnsi="Calibri" w:cs="Calibri"/>
              </w:rPr>
              <w:t>Documented care pathway for the bundle</w:t>
            </w:r>
          </w:p>
          <w:p w14:paraId="4054FD2B" w14:textId="77777777" w:rsidR="00F93662" w:rsidRPr="00094795" w:rsidRDefault="00F93662" w:rsidP="00F93662">
            <w:pPr>
              <w:pStyle w:val="NormalWeb"/>
              <w:spacing w:before="0" w:beforeAutospacing="0" w:after="0" w:afterAutospacing="0"/>
              <w:rPr>
                <w:rFonts w:ascii="Calibri" w:hAnsi="Calibri" w:cs="Calibri"/>
                <w:b/>
                <w:bCs/>
              </w:rPr>
            </w:pPr>
            <w:r w:rsidRPr="00094795">
              <w:rPr>
                <w:rFonts w:ascii="Calibri" w:hAnsi="Calibri" w:cs="Calibri"/>
                <w:b/>
                <w:bCs/>
              </w:rPr>
              <w:t>D. Contracting Readiness, the parties must have an agreement on:</w:t>
            </w:r>
          </w:p>
          <w:p w14:paraId="17812E18" w14:textId="77777777" w:rsidR="00F93662" w:rsidRPr="004F7BEC" w:rsidRDefault="00F93662" w:rsidP="00DE5532">
            <w:pPr>
              <w:pStyle w:val="NormalWeb"/>
              <w:numPr>
                <w:ilvl w:val="0"/>
                <w:numId w:val="10"/>
              </w:numPr>
              <w:spacing w:before="0" w:beforeAutospacing="0" w:after="0" w:afterAutospacing="0"/>
              <w:rPr>
                <w:rFonts w:ascii="Calibri" w:hAnsi="Calibri" w:cs="Calibri"/>
              </w:rPr>
            </w:pPr>
            <w:r w:rsidRPr="004F7BEC">
              <w:rPr>
                <w:rFonts w:ascii="Calibri" w:hAnsi="Calibri" w:cs="Calibri"/>
              </w:rPr>
              <w:t>Risk adjustment method</w:t>
            </w:r>
          </w:p>
          <w:p w14:paraId="51D20F88" w14:textId="77777777" w:rsidR="00F93662" w:rsidRPr="004F7BEC" w:rsidRDefault="00F93662" w:rsidP="00DE5532">
            <w:pPr>
              <w:pStyle w:val="NormalWeb"/>
              <w:numPr>
                <w:ilvl w:val="0"/>
                <w:numId w:val="10"/>
              </w:numPr>
              <w:spacing w:before="0" w:beforeAutospacing="0" w:after="0" w:afterAutospacing="0"/>
              <w:rPr>
                <w:rFonts w:ascii="Calibri" w:hAnsi="Calibri" w:cs="Calibri"/>
              </w:rPr>
            </w:pPr>
            <w:r w:rsidRPr="2713411B">
              <w:rPr>
                <w:rFonts w:ascii="Calibri" w:hAnsi="Calibri" w:cs="Calibri"/>
              </w:rPr>
              <w:t>Benchmark methodology</w:t>
            </w:r>
          </w:p>
          <w:p w14:paraId="28D425DA" w14:textId="77777777" w:rsidR="00F93662" w:rsidRDefault="00F93662" w:rsidP="00DE5532">
            <w:pPr>
              <w:pStyle w:val="NormalWeb"/>
              <w:numPr>
                <w:ilvl w:val="0"/>
                <w:numId w:val="10"/>
              </w:numPr>
              <w:spacing w:before="0" w:beforeAutospacing="0" w:after="0" w:afterAutospacing="0"/>
              <w:rPr>
                <w:rFonts w:ascii="Calibri" w:hAnsi="Calibri" w:cs="Calibri"/>
              </w:rPr>
            </w:pPr>
            <w:r w:rsidRPr="004F7BEC">
              <w:rPr>
                <w:rFonts w:ascii="Calibri" w:hAnsi="Calibri" w:cs="Calibri"/>
              </w:rPr>
              <w:t>MSR definition and application</w:t>
            </w:r>
          </w:p>
          <w:p w14:paraId="6DBCF0A3" w14:textId="66714B0E" w:rsidR="00094795" w:rsidRPr="00233EA3" w:rsidRDefault="0CA6DD49" w:rsidP="00DE5532">
            <w:pPr>
              <w:pStyle w:val="ListParagraph"/>
              <w:numPr>
                <w:ilvl w:val="0"/>
                <w:numId w:val="10"/>
              </w:numPr>
              <w:rPr>
                <w:rFonts w:ascii="Calibri" w:hAnsi="Calibri" w:cs="Calibri"/>
              </w:rPr>
            </w:pPr>
            <w:r w:rsidRPr="2713411B">
              <w:rPr>
                <w:rFonts w:ascii="Calibri" w:hAnsi="Calibri" w:cs="Calibri"/>
              </w:rPr>
              <w:t>Minimum</w:t>
            </w:r>
            <w:r w:rsidR="00094795" w:rsidRPr="2713411B">
              <w:rPr>
                <w:rFonts w:ascii="Calibri" w:hAnsi="Calibri" w:cs="Calibri"/>
              </w:rPr>
              <w:t xml:space="preserve"> number of patients in a contractual period.</w:t>
            </w:r>
          </w:p>
          <w:p w14:paraId="29219DC2" w14:textId="101898DD" w:rsidR="00094795" w:rsidRPr="00F93662" w:rsidRDefault="00094795" w:rsidP="00094795">
            <w:pPr>
              <w:pStyle w:val="NormalWeb"/>
              <w:spacing w:before="0" w:beforeAutospacing="0" w:after="0" w:afterAutospacing="0"/>
              <w:ind w:left="720"/>
              <w:rPr>
                <w:rFonts w:ascii="Calibri" w:hAnsi="Calibri" w:cs="Calibri"/>
              </w:rPr>
            </w:pPr>
          </w:p>
        </w:tc>
        <w:tc>
          <w:tcPr>
            <w:tcW w:w="4957" w:type="dxa"/>
          </w:tcPr>
          <w:p w14:paraId="63EFD5D4" w14:textId="77777777" w:rsidR="00F93662" w:rsidRPr="00F93662" w:rsidRDefault="00F93662" w:rsidP="00F93662">
            <w:pPr>
              <w:pStyle w:val="NormalWeb"/>
              <w:spacing w:before="0" w:beforeAutospacing="0" w:after="0" w:afterAutospacing="0"/>
              <w:rPr>
                <w:rFonts w:ascii="Calibri" w:hAnsi="Calibri" w:cs="Calibri"/>
                <w:b/>
                <w:bCs/>
              </w:rPr>
            </w:pPr>
            <w:r w:rsidRPr="00F93662">
              <w:rPr>
                <w:b/>
                <w:bCs/>
              </w:rPr>
              <w:lastRenderedPageBreak/>
              <w:t>A</w:t>
            </w:r>
            <w:r w:rsidRPr="00F93662">
              <w:rPr>
                <w:rFonts w:ascii="Calibri" w:hAnsi="Calibri" w:cs="Calibri"/>
                <w:b/>
                <w:bCs/>
              </w:rPr>
              <w:t>. Financial Performance Maturity</w:t>
            </w:r>
          </w:p>
          <w:p w14:paraId="02EB149D" w14:textId="77777777" w:rsidR="00F93662" w:rsidRPr="00F93662" w:rsidRDefault="00F93662" w:rsidP="00DE5532">
            <w:pPr>
              <w:pStyle w:val="NormalWeb"/>
              <w:numPr>
                <w:ilvl w:val="0"/>
                <w:numId w:val="12"/>
              </w:numPr>
              <w:spacing w:before="0" w:beforeAutospacing="0" w:after="0" w:afterAutospacing="0"/>
              <w:rPr>
                <w:rFonts w:ascii="Calibri" w:hAnsi="Calibri" w:cs="Calibri"/>
              </w:rPr>
            </w:pPr>
            <w:r w:rsidRPr="00F93662">
              <w:rPr>
                <w:rFonts w:ascii="Calibri" w:hAnsi="Calibri" w:cs="Calibri"/>
              </w:rPr>
              <w:t xml:space="preserve">Demonstrated savings in ≥1 cycle </w:t>
            </w:r>
            <w:r w:rsidRPr="00F93662">
              <w:rPr>
                <w:rFonts w:ascii="Calibri" w:hAnsi="Calibri" w:cs="Calibri"/>
                <w:b/>
                <w:bCs/>
              </w:rPr>
              <w:t>without quality deterioration</w:t>
            </w:r>
          </w:p>
          <w:p w14:paraId="0F828269" w14:textId="77777777" w:rsidR="00F93662" w:rsidRPr="00F93662" w:rsidRDefault="00F93662" w:rsidP="00DE5532">
            <w:pPr>
              <w:pStyle w:val="NormalWeb"/>
              <w:numPr>
                <w:ilvl w:val="0"/>
                <w:numId w:val="12"/>
              </w:numPr>
              <w:spacing w:before="0" w:beforeAutospacing="0" w:after="0" w:afterAutospacing="0"/>
              <w:rPr>
                <w:rFonts w:ascii="Calibri" w:hAnsi="Calibri" w:cs="Calibri"/>
              </w:rPr>
            </w:pPr>
            <w:r w:rsidRPr="00F93662">
              <w:rPr>
                <w:rFonts w:ascii="Calibri" w:hAnsi="Calibri" w:cs="Calibri"/>
              </w:rPr>
              <w:t>No major disputes in reconciliation or benchmarking</w:t>
            </w:r>
          </w:p>
          <w:p w14:paraId="1CD1B28B" w14:textId="77777777" w:rsidR="00F93662" w:rsidRPr="00F93662" w:rsidRDefault="00F93662" w:rsidP="00F93662">
            <w:pPr>
              <w:pStyle w:val="NormalWeb"/>
              <w:spacing w:before="0" w:beforeAutospacing="0" w:after="0" w:afterAutospacing="0"/>
              <w:rPr>
                <w:rFonts w:ascii="Calibri" w:hAnsi="Calibri" w:cs="Calibri"/>
                <w:b/>
                <w:bCs/>
              </w:rPr>
            </w:pPr>
            <w:r w:rsidRPr="00F93662">
              <w:rPr>
                <w:rFonts w:ascii="Calibri" w:hAnsi="Calibri" w:cs="Calibri"/>
                <w:b/>
                <w:bCs/>
              </w:rPr>
              <w:t>B. Outcome Performance</w:t>
            </w:r>
          </w:p>
          <w:p w14:paraId="33BB320C" w14:textId="1A9D7DBB" w:rsidR="00F93662" w:rsidRPr="00F93662" w:rsidRDefault="00F93662" w:rsidP="00DE5532">
            <w:pPr>
              <w:pStyle w:val="NormalWeb"/>
              <w:numPr>
                <w:ilvl w:val="0"/>
                <w:numId w:val="13"/>
              </w:numPr>
              <w:spacing w:before="0" w:beforeAutospacing="0" w:after="0" w:afterAutospacing="0"/>
              <w:rPr>
                <w:rFonts w:ascii="Calibri" w:hAnsi="Calibri" w:cs="Calibri"/>
              </w:rPr>
            </w:pPr>
            <w:r w:rsidRPr="00F93662">
              <w:rPr>
                <w:rFonts w:ascii="Calibri" w:hAnsi="Calibri" w:cs="Calibri"/>
              </w:rPr>
              <w:t xml:space="preserve">Statistically significant improvement in ≥1 outcome metric </w:t>
            </w:r>
            <w:r w:rsidRPr="00F93662">
              <w:rPr>
                <w:rFonts w:ascii="Calibri" w:hAnsi="Calibri" w:cs="Calibri"/>
                <w:b/>
                <w:bCs/>
              </w:rPr>
              <w:t>or</w:t>
            </w:r>
          </w:p>
          <w:p w14:paraId="2F7BCF00" w14:textId="77777777" w:rsidR="00F93662" w:rsidRPr="00F93662" w:rsidRDefault="00F93662" w:rsidP="00DE5532">
            <w:pPr>
              <w:pStyle w:val="NormalWeb"/>
              <w:numPr>
                <w:ilvl w:val="0"/>
                <w:numId w:val="13"/>
              </w:numPr>
              <w:spacing w:before="0" w:beforeAutospacing="0" w:after="0" w:afterAutospacing="0"/>
              <w:rPr>
                <w:rFonts w:ascii="Calibri" w:hAnsi="Calibri" w:cs="Calibri"/>
              </w:rPr>
            </w:pPr>
            <w:r w:rsidRPr="00F93662">
              <w:rPr>
                <w:rFonts w:ascii="Calibri" w:hAnsi="Calibri" w:cs="Calibri"/>
              </w:rPr>
              <w:t>Sustained performance above national or market median</w:t>
            </w:r>
          </w:p>
          <w:p w14:paraId="3BC10845" w14:textId="77777777" w:rsidR="00F93662" w:rsidRPr="00F93662" w:rsidRDefault="00F93662" w:rsidP="00F93662">
            <w:pPr>
              <w:pStyle w:val="NormalWeb"/>
              <w:spacing w:before="0" w:beforeAutospacing="0" w:after="0" w:afterAutospacing="0"/>
              <w:rPr>
                <w:rFonts w:ascii="Calibri" w:hAnsi="Calibri" w:cs="Calibri"/>
                <w:b/>
                <w:bCs/>
              </w:rPr>
            </w:pPr>
            <w:r w:rsidRPr="00F93662">
              <w:rPr>
                <w:rFonts w:ascii="Calibri" w:hAnsi="Calibri" w:cs="Calibri"/>
                <w:b/>
                <w:bCs/>
              </w:rPr>
              <w:t>C. Risk Management Capability</w:t>
            </w:r>
          </w:p>
          <w:p w14:paraId="77670DAA" w14:textId="77777777" w:rsidR="00F93662" w:rsidRPr="00F93662" w:rsidRDefault="00F93662" w:rsidP="2713411B">
            <w:pPr>
              <w:pStyle w:val="NormalWeb"/>
              <w:spacing w:before="0" w:beforeAutospacing="0" w:after="0" w:afterAutospacing="0"/>
              <w:rPr>
                <w:rFonts w:ascii="Calibri" w:hAnsi="Calibri" w:cs="Calibri"/>
              </w:rPr>
            </w:pPr>
            <w:r w:rsidRPr="2713411B">
              <w:rPr>
                <w:rFonts w:ascii="Calibri" w:hAnsi="Calibri" w:cs="Calibri"/>
              </w:rPr>
              <w:t>Provider demonstrates:</w:t>
            </w:r>
          </w:p>
          <w:p w14:paraId="4784215A" w14:textId="77777777" w:rsidR="00F93662" w:rsidRPr="00F93662" w:rsidRDefault="00F93662" w:rsidP="00DE5532">
            <w:pPr>
              <w:pStyle w:val="NormalWeb"/>
              <w:numPr>
                <w:ilvl w:val="0"/>
                <w:numId w:val="11"/>
              </w:numPr>
              <w:spacing w:before="0" w:beforeAutospacing="0" w:after="0" w:afterAutospacing="0"/>
              <w:rPr>
                <w:rFonts w:ascii="Calibri" w:hAnsi="Calibri" w:cs="Calibri"/>
              </w:rPr>
            </w:pPr>
            <w:r w:rsidRPr="00F93662">
              <w:rPr>
                <w:rFonts w:ascii="Calibri" w:hAnsi="Calibri" w:cs="Calibri"/>
              </w:rPr>
              <w:t>Internal cost control mechanisms</w:t>
            </w:r>
          </w:p>
          <w:p w14:paraId="3300576F" w14:textId="77777777" w:rsidR="00F93662" w:rsidRPr="00F93662" w:rsidRDefault="00F93662" w:rsidP="00DE5532">
            <w:pPr>
              <w:pStyle w:val="NormalWeb"/>
              <w:numPr>
                <w:ilvl w:val="0"/>
                <w:numId w:val="11"/>
              </w:numPr>
              <w:spacing w:before="0" w:beforeAutospacing="0" w:after="0" w:afterAutospacing="0"/>
              <w:rPr>
                <w:rFonts w:ascii="Calibri" w:hAnsi="Calibri" w:cs="Calibri"/>
              </w:rPr>
            </w:pPr>
            <w:r w:rsidRPr="00F93662">
              <w:rPr>
                <w:rFonts w:ascii="Calibri" w:hAnsi="Calibri" w:cs="Calibri"/>
              </w:rPr>
              <w:lastRenderedPageBreak/>
              <w:t>Ability to absorb limited downside (financial reserves or governance approval)</w:t>
            </w:r>
          </w:p>
          <w:p w14:paraId="2F26F9B8" w14:textId="77777777" w:rsidR="00F93662" w:rsidRPr="00F93662" w:rsidRDefault="00F93662" w:rsidP="00F93662">
            <w:pPr>
              <w:pStyle w:val="NormalWeb"/>
              <w:spacing w:before="0" w:beforeAutospacing="0" w:after="0" w:afterAutospacing="0"/>
              <w:rPr>
                <w:rFonts w:ascii="Calibri" w:hAnsi="Calibri" w:cs="Calibri"/>
                <w:b/>
                <w:bCs/>
              </w:rPr>
            </w:pPr>
            <w:r w:rsidRPr="00F93662">
              <w:rPr>
                <w:rFonts w:ascii="Calibri" w:hAnsi="Calibri" w:cs="Calibri"/>
                <w:b/>
                <w:bCs/>
              </w:rPr>
              <w:t>D. Advanced Measurement</w:t>
            </w:r>
          </w:p>
          <w:p w14:paraId="0546CAC2" w14:textId="7CA035B6" w:rsidR="00F93662" w:rsidRPr="00F93662" w:rsidRDefault="24975057" w:rsidP="00DE5532">
            <w:pPr>
              <w:pStyle w:val="NormalWeb"/>
              <w:numPr>
                <w:ilvl w:val="0"/>
                <w:numId w:val="14"/>
              </w:numPr>
              <w:spacing w:before="0" w:beforeAutospacing="0" w:after="0" w:afterAutospacing="0"/>
              <w:rPr>
                <w:rFonts w:ascii="Calibri" w:hAnsi="Calibri" w:cs="Calibri"/>
              </w:rPr>
            </w:pPr>
            <w:r w:rsidRPr="24A8D1DB">
              <w:rPr>
                <w:rFonts w:ascii="Calibri" w:hAnsi="Calibri" w:cs="Calibri"/>
              </w:rPr>
              <w:t>PROM completeness ≥85%</w:t>
            </w:r>
            <w:r w:rsidR="2F118833" w:rsidRPr="24A8D1DB">
              <w:rPr>
                <w:rFonts w:ascii="Calibri" w:hAnsi="Calibri" w:cs="Calibri"/>
              </w:rPr>
              <w:t xml:space="preserve"> (or Completeness of ≥ 80% of the entire measure set (this aligns with ICHOM standards and includes PREMs, PROMs and CROMs)</w:t>
            </w:r>
          </w:p>
          <w:p w14:paraId="07DD2FD3" w14:textId="77777777" w:rsidR="00F93662" w:rsidRPr="00F93662" w:rsidRDefault="00F93662" w:rsidP="00DE5532">
            <w:pPr>
              <w:pStyle w:val="NormalWeb"/>
              <w:numPr>
                <w:ilvl w:val="0"/>
                <w:numId w:val="14"/>
              </w:numPr>
              <w:spacing w:before="0" w:beforeAutospacing="0" w:after="0" w:afterAutospacing="0"/>
              <w:rPr>
                <w:rFonts w:ascii="Calibri" w:hAnsi="Calibri" w:cs="Calibri"/>
              </w:rPr>
            </w:pPr>
            <w:r w:rsidRPr="00F93662">
              <w:rPr>
                <w:rFonts w:ascii="Calibri" w:hAnsi="Calibri" w:cs="Calibri"/>
              </w:rPr>
              <w:t>Ability to stratify outcomes by risk group or severity</w:t>
            </w:r>
          </w:p>
          <w:p w14:paraId="4B805FBC" w14:textId="4B58B797" w:rsidR="00F93662" w:rsidRPr="00F93662" w:rsidRDefault="00F93662" w:rsidP="00F93662">
            <w:pPr>
              <w:pStyle w:val="NormalWeb"/>
              <w:spacing w:before="0" w:beforeAutospacing="0" w:after="0" w:afterAutospacing="0"/>
              <w:rPr>
                <w:rFonts w:ascii="Calibri" w:hAnsi="Calibri" w:cs="Calibri"/>
                <w:b/>
                <w:bCs/>
              </w:rPr>
            </w:pPr>
            <w:r w:rsidRPr="00F93662">
              <w:rPr>
                <w:rFonts w:ascii="Calibri" w:hAnsi="Calibri" w:cs="Calibri"/>
                <w:b/>
                <w:bCs/>
              </w:rPr>
              <w:t>E. Strategic Commitment</w:t>
            </w:r>
            <w:r w:rsidR="00094795">
              <w:rPr>
                <w:rFonts w:ascii="Calibri" w:hAnsi="Calibri" w:cs="Calibri"/>
                <w:b/>
                <w:bCs/>
              </w:rPr>
              <w:t xml:space="preserve"> to:</w:t>
            </w:r>
          </w:p>
          <w:p w14:paraId="7D1E88A7" w14:textId="77777777" w:rsidR="00F93662" w:rsidRPr="00F93662" w:rsidRDefault="00F93662" w:rsidP="00DE5532">
            <w:pPr>
              <w:pStyle w:val="NormalWeb"/>
              <w:numPr>
                <w:ilvl w:val="0"/>
                <w:numId w:val="15"/>
              </w:numPr>
              <w:spacing w:before="0" w:beforeAutospacing="0" w:after="0" w:afterAutospacing="0"/>
              <w:rPr>
                <w:rFonts w:ascii="Calibri" w:hAnsi="Calibri" w:cs="Calibri"/>
              </w:rPr>
            </w:pPr>
            <w:r w:rsidRPr="00F93662">
              <w:rPr>
                <w:rFonts w:ascii="Calibri" w:hAnsi="Calibri" w:cs="Calibri"/>
              </w:rPr>
              <w:t>Two-sided risk</w:t>
            </w:r>
          </w:p>
          <w:p w14:paraId="176D6EA6" w14:textId="77777777" w:rsidR="00F93662" w:rsidRPr="00F93662" w:rsidRDefault="00F93662" w:rsidP="00DE5532">
            <w:pPr>
              <w:pStyle w:val="NormalWeb"/>
              <w:numPr>
                <w:ilvl w:val="0"/>
                <w:numId w:val="15"/>
              </w:numPr>
              <w:spacing w:before="0" w:beforeAutospacing="0" w:after="0" w:afterAutospacing="0"/>
              <w:rPr>
                <w:rFonts w:ascii="Calibri" w:hAnsi="Calibri" w:cs="Calibri"/>
              </w:rPr>
            </w:pPr>
            <w:r w:rsidRPr="00F93662">
              <w:rPr>
                <w:rFonts w:ascii="Calibri" w:hAnsi="Calibri" w:cs="Calibri"/>
              </w:rPr>
              <w:t>Outcome-linked downside exposure</w:t>
            </w:r>
          </w:p>
          <w:p w14:paraId="5C3A9312" w14:textId="77777777" w:rsidR="00F93662" w:rsidRPr="00F93662" w:rsidRDefault="00F93662" w:rsidP="00DE5532">
            <w:pPr>
              <w:pStyle w:val="NormalWeb"/>
              <w:numPr>
                <w:ilvl w:val="0"/>
                <w:numId w:val="15"/>
              </w:numPr>
              <w:spacing w:before="0" w:beforeAutospacing="0" w:after="0" w:afterAutospacing="0"/>
              <w:rPr>
                <w:rFonts w:ascii="Calibri" w:hAnsi="Calibri" w:cs="Calibri"/>
              </w:rPr>
            </w:pPr>
            <w:r w:rsidRPr="00F93662">
              <w:rPr>
                <w:rFonts w:ascii="Calibri" w:hAnsi="Calibri" w:cs="Calibri"/>
              </w:rPr>
              <w:t>Multi-year contract horizon</w:t>
            </w:r>
          </w:p>
          <w:p w14:paraId="09ADF3BF" w14:textId="1986CE1B" w:rsidR="00F93662" w:rsidRDefault="00F93662" w:rsidP="00E05477">
            <w:pPr>
              <w:pStyle w:val="NormalWeb"/>
              <w:rPr>
                <w:rFonts w:ascii="Calibri" w:hAnsi="Calibri" w:cs="Calibri"/>
                <w:b/>
                <w:bCs/>
              </w:rPr>
            </w:pPr>
          </w:p>
        </w:tc>
      </w:tr>
    </w:tbl>
    <w:p w14:paraId="74901397" w14:textId="71F68940" w:rsidR="2CD5189A" w:rsidRPr="000D4569" w:rsidRDefault="2CD5189A" w:rsidP="2CD5189A"/>
    <w:p w14:paraId="481EFC24" w14:textId="37EA4D33" w:rsidR="7FB9948E" w:rsidRPr="000D4569" w:rsidRDefault="7FB9948E" w:rsidP="000D4569">
      <w:pPr>
        <w:rPr>
          <w:rFonts w:ascii="Calibri" w:eastAsia="Calibri" w:hAnsi="Calibri" w:cs="Calibri"/>
          <w:b/>
          <w:bCs/>
        </w:rPr>
      </w:pPr>
      <w:r w:rsidRPr="000D4569">
        <w:rPr>
          <w:rFonts w:ascii="Calibri" w:eastAsia="Calibri" w:hAnsi="Calibri" w:cs="Calibri"/>
          <w:b/>
          <w:bCs/>
        </w:rPr>
        <w:t xml:space="preserve">Incentives </w:t>
      </w:r>
      <w:r w:rsidR="663C65F4" w:rsidRPr="7F31AE82">
        <w:rPr>
          <w:rFonts w:ascii="Calibri" w:eastAsia="Calibri" w:hAnsi="Calibri" w:cs="Calibri"/>
          <w:b/>
          <w:bCs/>
        </w:rPr>
        <w:t xml:space="preserve">Examples </w:t>
      </w:r>
      <w:r w:rsidRPr="000D4569">
        <w:rPr>
          <w:rFonts w:ascii="Calibri" w:eastAsia="Calibri" w:hAnsi="Calibri" w:cs="Calibri"/>
          <w:b/>
          <w:bCs/>
        </w:rPr>
        <w:t>Tables</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A0" w:firstRow="1" w:lastRow="0" w:firstColumn="1" w:lastColumn="0" w:noHBand="1" w:noVBand="1"/>
      </w:tblPr>
      <w:tblGrid>
        <w:gridCol w:w="1275"/>
        <w:gridCol w:w="3575"/>
        <w:gridCol w:w="5053"/>
      </w:tblGrid>
      <w:tr w:rsidR="2CD5189A" w14:paraId="6D9283BB" w14:textId="77777777" w:rsidTr="000D4569">
        <w:trPr>
          <w:trHeight w:val="300"/>
        </w:trPr>
        <w:tc>
          <w:tcPr>
            <w:tcW w:w="1275" w:type="dxa"/>
            <w:shd w:val="clear" w:color="auto" w:fill="0A2F41" w:themeFill="accent1" w:themeFillShade="80"/>
            <w:vAlign w:val="center"/>
          </w:tcPr>
          <w:p w14:paraId="330B5BF0" w14:textId="5BA2FF7E" w:rsidR="2CD5189A" w:rsidRPr="000D4569" w:rsidRDefault="2CD5189A">
            <w:pPr>
              <w:rPr>
                <w:rFonts w:ascii="Calibri" w:eastAsia="Calibri" w:hAnsi="Calibri" w:cs="Calibri"/>
                <w:b/>
                <w:bCs/>
                <w:color w:val="FFFFFF" w:themeColor="background1"/>
              </w:rPr>
            </w:pPr>
            <w:r w:rsidRPr="000D4569">
              <w:rPr>
                <w:rFonts w:ascii="Calibri" w:eastAsia="Calibri" w:hAnsi="Calibri" w:cs="Calibri"/>
                <w:b/>
                <w:bCs/>
                <w:color w:val="FFFFFF" w:themeColor="background1"/>
              </w:rPr>
              <w:t>VBC Phase</w:t>
            </w:r>
          </w:p>
        </w:tc>
        <w:tc>
          <w:tcPr>
            <w:tcW w:w="3575" w:type="dxa"/>
            <w:shd w:val="clear" w:color="auto" w:fill="0A2F41" w:themeFill="accent1" w:themeFillShade="80"/>
            <w:vAlign w:val="center"/>
          </w:tcPr>
          <w:p w14:paraId="274BFBC0" w14:textId="61E2006B" w:rsidR="2CD5189A" w:rsidRPr="000D4569" w:rsidRDefault="2CD5189A" w:rsidP="2CD5189A">
            <w:pPr>
              <w:rPr>
                <w:rFonts w:ascii="Calibri" w:eastAsia="Calibri" w:hAnsi="Calibri" w:cs="Calibri"/>
                <w:b/>
                <w:bCs/>
                <w:color w:val="FFFFFF" w:themeColor="background1"/>
              </w:rPr>
            </w:pPr>
            <w:r w:rsidRPr="000D4569">
              <w:rPr>
                <w:rFonts w:ascii="Calibri" w:eastAsia="Calibri" w:hAnsi="Calibri" w:cs="Calibri"/>
                <w:b/>
                <w:bCs/>
                <w:color w:val="FFFFFF" w:themeColor="background1"/>
              </w:rPr>
              <w:t>Financial Incentives</w:t>
            </w:r>
          </w:p>
        </w:tc>
        <w:tc>
          <w:tcPr>
            <w:tcW w:w="5053" w:type="dxa"/>
            <w:shd w:val="clear" w:color="auto" w:fill="0A2F41" w:themeFill="accent1" w:themeFillShade="80"/>
            <w:vAlign w:val="center"/>
          </w:tcPr>
          <w:p w14:paraId="07791552" w14:textId="37EE399A" w:rsidR="2CD5189A" w:rsidRPr="000D4569" w:rsidRDefault="2CD5189A" w:rsidP="2CD5189A">
            <w:pPr>
              <w:rPr>
                <w:rFonts w:ascii="Calibri" w:eastAsia="Calibri" w:hAnsi="Calibri" w:cs="Calibri"/>
                <w:b/>
                <w:bCs/>
                <w:color w:val="FFFFFF" w:themeColor="background1"/>
              </w:rPr>
            </w:pPr>
            <w:r w:rsidRPr="000D4569">
              <w:rPr>
                <w:rFonts w:ascii="Calibri" w:eastAsia="Calibri" w:hAnsi="Calibri" w:cs="Calibri"/>
                <w:b/>
                <w:bCs/>
                <w:color w:val="FFFFFF" w:themeColor="background1"/>
              </w:rPr>
              <w:t>Non-Financial Incentives</w:t>
            </w:r>
          </w:p>
        </w:tc>
      </w:tr>
      <w:tr w:rsidR="2CD5189A" w14:paraId="68B056F8" w14:textId="77777777" w:rsidTr="000D4569">
        <w:trPr>
          <w:trHeight w:val="300"/>
        </w:trPr>
        <w:tc>
          <w:tcPr>
            <w:tcW w:w="1275" w:type="dxa"/>
            <w:vAlign w:val="center"/>
          </w:tcPr>
          <w:p w14:paraId="75F927AA" w14:textId="08BFBB58" w:rsidR="2CD5189A" w:rsidRPr="000D4569" w:rsidRDefault="2CD5189A">
            <w:pPr>
              <w:rPr>
                <w:rFonts w:ascii="Calibri" w:eastAsia="Calibri" w:hAnsi="Calibri" w:cs="Calibri"/>
                <w:b/>
                <w:bCs/>
              </w:rPr>
            </w:pPr>
            <w:r w:rsidRPr="000D4569">
              <w:rPr>
                <w:rFonts w:ascii="Calibri" w:eastAsia="Calibri" w:hAnsi="Calibri" w:cs="Calibri"/>
                <w:b/>
                <w:bCs/>
              </w:rPr>
              <w:t>Phase 1: Report &amp; Measure</w:t>
            </w:r>
          </w:p>
        </w:tc>
        <w:tc>
          <w:tcPr>
            <w:tcW w:w="3575" w:type="dxa"/>
            <w:shd w:val="clear" w:color="auto" w:fill="FFFFFF" w:themeFill="background1"/>
            <w:vAlign w:val="center"/>
          </w:tcPr>
          <w:p w14:paraId="2D73FD12" w14:textId="315938D1" w:rsidR="2CD5189A" w:rsidRPr="000D4569" w:rsidRDefault="2CD5189A" w:rsidP="2CD5189A">
            <w:pPr>
              <w:rPr>
                <w:rFonts w:ascii="Calibri" w:eastAsia="Calibri" w:hAnsi="Calibri" w:cs="Calibri"/>
              </w:rPr>
            </w:pPr>
            <w:r w:rsidRPr="000D4569">
              <w:rPr>
                <w:rFonts w:ascii="Calibri" w:eastAsia="Calibri" w:hAnsi="Calibri" w:cs="Calibri"/>
              </w:rPr>
              <w:t xml:space="preserve">• </w:t>
            </w:r>
            <w:r w:rsidR="7BC93C21" w:rsidRPr="2CD5189A">
              <w:rPr>
                <w:rFonts w:ascii="Calibri" w:eastAsia="Calibri" w:hAnsi="Calibri" w:cs="Calibri"/>
              </w:rPr>
              <w:t xml:space="preserve"> </w:t>
            </w:r>
            <w:r w:rsidR="0071E4AF" w:rsidRPr="7F31AE82">
              <w:rPr>
                <w:rFonts w:ascii="Calibri" w:eastAsia="Calibri" w:hAnsi="Calibri" w:cs="Calibri"/>
              </w:rPr>
              <w:t>An</w:t>
            </w:r>
            <w:r w:rsidR="7BC93C21" w:rsidRPr="2CD5189A">
              <w:rPr>
                <w:rFonts w:ascii="Calibri" w:eastAsia="Calibri" w:hAnsi="Calibri" w:cs="Calibri"/>
              </w:rPr>
              <w:t xml:space="preserve"> incentive for reporting data</w:t>
            </w:r>
          </w:p>
          <w:p w14:paraId="461CED8C" w14:textId="2ED87B55" w:rsidR="2CD5189A" w:rsidRPr="000D4569" w:rsidRDefault="2CD5189A" w:rsidP="2CD5189A">
            <w:pPr>
              <w:rPr>
                <w:rFonts w:ascii="Calibri" w:eastAsia="Calibri" w:hAnsi="Calibri" w:cs="Calibri"/>
              </w:rPr>
            </w:pPr>
            <w:r w:rsidRPr="000D4569">
              <w:rPr>
                <w:rFonts w:ascii="Calibri" w:eastAsia="Calibri" w:hAnsi="Calibri" w:cs="Calibri"/>
              </w:rPr>
              <w:t>• Performance reporting support payments</w:t>
            </w:r>
          </w:p>
        </w:tc>
        <w:tc>
          <w:tcPr>
            <w:tcW w:w="5053" w:type="dxa"/>
            <w:vAlign w:val="center"/>
          </w:tcPr>
          <w:p w14:paraId="3FFBEE43" w14:textId="7C547582" w:rsidR="2CD5189A" w:rsidRDefault="2CD5189A" w:rsidP="2CD5189A">
            <w:pPr>
              <w:rPr>
                <w:rFonts w:ascii="Calibri" w:eastAsia="Calibri" w:hAnsi="Calibri" w:cs="Calibri"/>
              </w:rPr>
            </w:pPr>
            <w:r w:rsidRPr="000D4569">
              <w:rPr>
                <w:rFonts w:ascii="Calibri" w:eastAsia="Calibri" w:hAnsi="Calibri" w:cs="Calibri"/>
              </w:rPr>
              <w:t>• Technical assistance</w:t>
            </w:r>
          </w:p>
          <w:p w14:paraId="4CAC5332" w14:textId="544CCBFC" w:rsidR="2CD5189A" w:rsidRDefault="2CD5189A" w:rsidP="2CD5189A">
            <w:pPr>
              <w:rPr>
                <w:rFonts w:ascii="Calibri" w:eastAsia="Calibri" w:hAnsi="Calibri" w:cs="Calibri"/>
              </w:rPr>
            </w:pPr>
            <w:r w:rsidRPr="000D4569">
              <w:rPr>
                <w:rFonts w:ascii="Calibri" w:eastAsia="Calibri" w:hAnsi="Calibri" w:cs="Calibri"/>
              </w:rPr>
              <w:t>• Access to analytics dashboards</w:t>
            </w:r>
          </w:p>
          <w:p w14:paraId="7775F85C" w14:textId="345E6A78" w:rsidR="2CD5189A" w:rsidRPr="000D4569" w:rsidRDefault="2CD5189A" w:rsidP="2CD5189A">
            <w:pPr>
              <w:rPr>
                <w:rFonts w:ascii="Calibri" w:eastAsia="Calibri" w:hAnsi="Calibri" w:cs="Calibri"/>
              </w:rPr>
            </w:pPr>
            <w:r w:rsidRPr="000D4569">
              <w:rPr>
                <w:rFonts w:ascii="Calibri" w:eastAsia="Calibri" w:hAnsi="Calibri" w:cs="Calibri"/>
              </w:rPr>
              <w:t xml:space="preserve">• </w:t>
            </w:r>
            <w:r w:rsidR="6C5F9C0A" w:rsidRPr="2CD5189A">
              <w:rPr>
                <w:rFonts w:ascii="Calibri" w:eastAsia="Calibri" w:hAnsi="Calibri" w:cs="Calibri"/>
              </w:rPr>
              <w:t xml:space="preserve">Providers are rewarded for </w:t>
            </w:r>
            <w:r w:rsidR="003D7F1F" w:rsidRPr="2CD5189A">
              <w:rPr>
                <w:rFonts w:ascii="Calibri" w:eastAsia="Calibri" w:hAnsi="Calibri" w:cs="Calibri"/>
              </w:rPr>
              <w:t>participating in</w:t>
            </w:r>
            <w:r w:rsidR="003D7F1F">
              <w:rPr>
                <w:rFonts w:ascii="Calibri" w:eastAsia="Calibri" w:hAnsi="Calibri" w:cs="Calibri"/>
              </w:rPr>
              <w:t>/</w:t>
            </w:r>
            <w:r w:rsidR="6C5F9C0A" w:rsidRPr="2CD5189A">
              <w:rPr>
                <w:rFonts w:ascii="Calibri" w:eastAsia="Calibri" w:hAnsi="Calibri" w:cs="Calibri"/>
              </w:rPr>
              <w:t>and sharing data, with no financial penalties.</w:t>
            </w:r>
          </w:p>
        </w:tc>
      </w:tr>
      <w:tr w:rsidR="2CD5189A" w14:paraId="557F8DA1" w14:textId="77777777" w:rsidTr="000D4569">
        <w:trPr>
          <w:trHeight w:val="300"/>
        </w:trPr>
        <w:tc>
          <w:tcPr>
            <w:tcW w:w="1275" w:type="dxa"/>
            <w:vAlign w:val="center"/>
          </w:tcPr>
          <w:p w14:paraId="7F355D2A" w14:textId="40239B3F" w:rsidR="2CD5189A" w:rsidRPr="000D4569" w:rsidRDefault="2CD5189A">
            <w:pPr>
              <w:rPr>
                <w:rFonts w:ascii="Calibri" w:eastAsia="Calibri" w:hAnsi="Calibri" w:cs="Calibri"/>
                <w:b/>
                <w:bCs/>
              </w:rPr>
            </w:pPr>
            <w:r w:rsidRPr="000D4569">
              <w:rPr>
                <w:rFonts w:ascii="Calibri" w:eastAsia="Calibri" w:hAnsi="Calibri" w:cs="Calibri"/>
                <w:b/>
                <w:bCs/>
              </w:rPr>
              <w:t>Phase 2: Share Risk</w:t>
            </w:r>
          </w:p>
        </w:tc>
        <w:tc>
          <w:tcPr>
            <w:tcW w:w="3575" w:type="dxa"/>
            <w:vAlign w:val="center"/>
          </w:tcPr>
          <w:p w14:paraId="26502928" w14:textId="71AA0E70" w:rsidR="2CD5189A" w:rsidRDefault="2CD5189A">
            <w:pPr>
              <w:rPr>
                <w:rFonts w:ascii="Calibri" w:eastAsia="Calibri" w:hAnsi="Calibri" w:cs="Calibri"/>
              </w:rPr>
            </w:pPr>
            <w:r w:rsidRPr="000D4569">
              <w:rPr>
                <w:rFonts w:ascii="Calibri" w:eastAsia="Calibri" w:hAnsi="Calibri" w:cs="Calibri"/>
              </w:rPr>
              <w:t>• Shared savings payments</w:t>
            </w:r>
          </w:p>
          <w:p w14:paraId="29E830B9" w14:textId="6CB62279" w:rsidR="2CD5189A" w:rsidRPr="000D4569" w:rsidRDefault="2CD5189A" w:rsidP="2CD5189A">
            <w:pPr>
              <w:rPr>
                <w:rFonts w:ascii="Calibri" w:eastAsia="Calibri" w:hAnsi="Calibri" w:cs="Calibri"/>
              </w:rPr>
            </w:pPr>
            <w:r w:rsidRPr="000D4569">
              <w:rPr>
                <w:rFonts w:ascii="Calibri" w:eastAsia="Calibri" w:hAnsi="Calibri" w:cs="Calibri"/>
              </w:rPr>
              <w:t>•</w:t>
            </w:r>
            <w:r w:rsidR="3FA8009E" w:rsidRPr="2CD5189A">
              <w:rPr>
                <w:rFonts w:ascii="Calibri" w:eastAsia="Calibri" w:hAnsi="Calibri" w:cs="Calibri"/>
              </w:rPr>
              <w:t xml:space="preserve"> Limited financial risk with caps</w:t>
            </w:r>
          </w:p>
        </w:tc>
        <w:tc>
          <w:tcPr>
            <w:tcW w:w="5053" w:type="dxa"/>
            <w:vAlign w:val="center"/>
          </w:tcPr>
          <w:p w14:paraId="797A2535" w14:textId="45D9C87A" w:rsidR="2CD5189A" w:rsidRDefault="2CD5189A">
            <w:pPr>
              <w:rPr>
                <w:rFonts w:ascii="Calibri" w:eastAsia="Calibri" w:hAnsi="Calibri" w:cs="Calibri"/>
              </w:rPr>
            </w:pPr>
            <w:r w:rsidRPr="000D4569">
              <w:rPr>
                <w:rFonts w:ascii="Calibri" w:eastAsia="Calibri" w:hAnsi="Calibri" w:cs="Calibri"/>
              </w:rPr>
              <w:t>• Reduced administrative burden</w:t>
            </w:r>
          </w:p>
          <w:p w14:paraId="018D0595" w14:textId="77777777" w:rsidR="2CD5189A" w:rsidRDefault="2CD5189A" w:rsidP="2CD5189A">
            <w:pPr>
              <w:rPr>
                <w:rFonts w:ascii="Calibri" w:eastAsia="Calibri" w:hAnsi="Calibri" w:cs="Calibri"/>
              </w:rPr>
            </w:pPr>
            <w:r w:rsidRPr="000D4569">
              <w:rPr>
                <w:rFonts w:ascii="Calibri" w:eastAsia="Calibri" w:hAnsi="Calibri" w:cs="Calibri"/>
              </w:rPr>
              <w:t>• Faster contract renewals</w:t>
            </w:r>
          </w:p>
          <w:p w14:paraId="4ABB81E7" w14:textId="29ACD5B9" w:rsidR="004512E1" w:rsidRPr="000D4569" w:rsidRDefault="004512E1" w:rsidP="2CD5189A">
            <w:pPr>
              <w:rPr>
                <w:rFonts w:ascii="Calibri" w:eastAsia="Calibri" w:hAnsi="Calibri" w:cs="Calibri"/>
              </w:rPr>
            </w:pPr>
            <w:r>
              <w:rPr>
                <w:rFonts w:ascii="Calibri" w:eastAsia="Calibri" w:hAnsi="Calibri" w:cs="Calibri"/>
              </w:rPr>
              <w:t>Increase in Patient Volume</w:t>
            </w:r>
          </w:p>
        </w:tc>
      </w:tr>
      <w:tr w:rsidR="2CD5189A" w14:paraId="34B71D13" w14:textId="77777777" w:rsidTr="000D4569">
        <w:trPr>
          <w:trHeight w:val="300"/>
        </w:trPr>
        <w:tc>
          <w:tcPr>
            <w:tcW w:w="1275" w:type="dxa"/>
            <w:vAlign w:val="center"/>
          </w:tcPr>
          <w:p w14:paraId="657FB2AD" w14:textId="28BAE2EA" w:rsidR="2CD5189A" w:rsidRPr="000D4569" w:rsidRDefault="2CD5189A">
            <w:pPr>
              <w:rPr>
                <w:rFonts w:ascii="Calibri" w:eastAsia="Calibri" w:hAnsi="Calibri" w:cs="Calibri"/>
                <w:b/>
                <w:bCs/>
              </w:rPr>
            </w:pPr>
            <w:r w:rsidRPr="000D4569">
              <w:rPr>
                <w:rFonts w:ascii="Calibri" w:eastAsia="Calibri" w:hAnsi="Calibri" w:cs="Calibri"/>
                <w:b/>
                <w:bCs/>
              </w:rPr>
              <w:t>Phase 3: Own Outcomes</w:t>
            </w:r>
          </w:p>
        </w:tc>
        <w:tc>
          <w:tcPr>
            <w:tcW w:w="3575" w:type="dxa"/>
            <w:vAlign w:val="center"/>
          </w:tcPr>
          <w:p w14:paraId="1E9ECB54" w14:textId="5700D071" w:rsidR="2CD5189A" w:rsidRDefault="2CD5189A" w:rsidP="2CD5189A">
            <w:pPr>
              <w:rPr>
                <w:rFonts w:ascii="Calibri" w:eastAsia="Calibri" w:hAnsi="Calibri" w:cs="Calibri"/>
              </w:rPr>
            </w:pPr>
            <w:r w:rsidRPr="000D4569">
              <w:rPr>
                <w:rFonts w:ascii="Calibri" w:eastAsia="Calibri" w:hAnsi="Calibri" w:cs="Calibri"/>
              </w:rPr>
              <w:t>• Outcome-based payments</w:t>
            </w:r>
          </w:p>
          <w:p w14:paraId="2F946B7B" w14:textId="16599411" w:rsidR="2CD5189A" w:rsidRPr="000D4569" w:rsidRDefault="2CD5189A" w:rsidP="2CD5189A">
            <w:pPr>
              <w:rPr>
                <w:rFonts w:ascii="Calibri" w:eastAsia="Calibri" w:hAnsi="Calibri" w:cs="Calibri"/>
              </w:rPr>
            </w:pPr>
            <w:r w:rsidRPr="000D4569">
              <w:rPr>
                <w:rFonts w:ascii="Calibri" w:eastAsia="Calibri" w:hAnsi="Calibri" w:cs="Calibri"/>
              </w:rPr>
              <w:t>• Long-term contract stability</w:t>
            </w:r>
          </w:p>
        </w:tc>
        <w:tc>
          <w:tcPr>
            <w:tcW w:w="5053" w:type="dxa"/>
            <w:vAlign w:val="center"/>
          </w:tcPr>
          <w:p w14:paraId="0786744D" w14:textId="6541DDD3" w:rsidR="2CD5189A" w:rsidRDefault="2CD5189A">
            <w:pPr>
              <w:rPr>
                <w:rFonts w:ascii="Calibri" w:eastAsia="Calibri" w:hAnsi="Calibri" w:cs="Calibri"/>
              </w:rPr>
            </w:pPr>
            <w:r w:rsidRPr="000D4569">
              <w:rPr>
                <w:rFonts w:ascii="Calibri" w:eastAsia="Calibri" w:hAnsi="Calibri" w:cs="Calibri"/>
              </w:rPr>
              <w:t>• Strategic partnership recognition</w:t>
            </w:r>
          </w:p>
          <w:p w14:paraId="11D20F9A" w14:textId="28C94814" w:rsidR="2CD5189A" w:rsidRDefault="2CD5189A" w:rsidP="2CD5189A">
            <w:pPr>
              <w:rPr>
                <w:rFonts w:ascii="Calibri" w:eastAsia="Calibri" w:hAnsi="Calibri" w:cs="Calibri"/>
              </w:rPr>
            </w:pPr>
            <w:r w:rsidRPr="000D4569">
              <w:rPr>
                <w:rFonts w:ascii="Calibri" w:eastAsia="Calibri" w:hAnsi="Calibri" w:cs="Calibri"/>
              </w:rPr>
              <w:t>• Public reporting of high performance (where appropriate)</w:t>
            </w:r>
          </w:p>
          <w:p w14:paraId="70598F22" w14:textId="331C3A58" w:rsidR="2CD5189A" w:rsidRPr="000D4569" w:rsidRDefault="2CD5189A" w:rsidP="2CD5189A">
            <w:pPr>
              <w:rPr>
                <w:rFonts w:ascii="Calibri" w:eastAsia="Calibri" w:hAnsi="Calibri" w:cs="Calibri"/>
              </w:rPr>
            </w:pPr>
            <w:r w:rsidRPr="000D4569">
              <w:rPr>
                <w:rFonts w:ascii="Calibri" w:eastAsia="Calibri" w:hAnsi="Calibri" w:cs="Calibri"/>
              </w:rPr>
              <w:t>• Priority participation in advanced initiatives</w:t>
            </w:r>
          </w:p>
        </w:tc>
      </w:tr>
    </w:tbl>
    <w:p w14:paraId="3EAFAA82" w14:textId="77777777" w:rsidR="004B7EB9" w:rsidRDefault="004B7EB9" w:rsidP="0062302C">
      <w:pPr>
        <w:pStyle w:val="Heading3"/>
        <w:rPr>
          <w:rFonts w:ascii="Calibri" w:hAnsi="Calibri" w:cs="Calibri"/>
        </w:rPr>
      </w:pPr>
    </w:p>
    <w:p w14:paraId="1BCBBD78" w14:textId="5B51F8AA" w:rsidR="0062302C" w:rsidRPr="00E43E9B" w:rsidRDefault="3259D984" w:rsidP="0DACE1A3">
      <w:pPr>
        <w:pStyle w:val="Heading1"/>
        <w:rPr>
          <w:rFonts w:ascii="Calibri" w:hAnsi="Calibri" w:cs="Calibri"/>
        </w:rPr>
      </w:pPr>
      <w:bookmarkStart w:id="14" w:name="_Toc219208386"/>
      <w:r>
        <w:t xml:space="preserve">4. </w:t>
      </w:r>
      <w:r w:rsidR="0062302C">
        <w:t>Contract Design and Payment Structures for Value-Based Contracting</w:t>
      </w:r>
      <w:bookmarkEnd w:id="14"/>
    </w:p>
    <w:p w14:paraId="2F9ED6FA" w14:textId="68EAF235" w:rsidR="00F93662" w:rsidRPr="0062302C" w:rsidRDefault="29FDD041" w:rsidP="3259D984">
      <w:pPr>
        <w:spacing w:before="240" w:after="240"/>
      </w:pPr>
      <w:r w:rsidRPr="3259D984">
        <w:rPr>
          <w:rFonts w:ascii="Calibri" w:eastAsia="Calibri" w:hAnsi="Calibri" w:cs="Calibri"/>
        </w:rPr>
        <w:t>To ensure consistency, transparency, and regulatory alignment, all value-based contracts implemented under these guidelines shall include, at a minimum, the clauses set out in this section. These clauses establish the foundational requirements necessary for credible outcome measurement, fair financial settlement, patient protection, and effective regulatory oversight.</w:t>
      </w:r>
    </w:p>
    <w:p w14:paraId="7CB388AB" w14:textId="08D443E5" w:rsidR="00F93662" w:rsidRPr="0062302C" w:rsidRDefault="29FDD041" w:rsidP="3259D984">
      <w:pPr>
        <w:spacing w:before="240" w:after="240"/>
      </w:pPr>
      <w:r w:rsidRPr="3259D984">
        <w:rPr>
          <w:rFonts w:ascii="Calibri" w:eastAsia="Calibri" w:hAnsi="Calibri" w:cs="Calibri"/>
        </w:rPr>
        <w:t>The inclusion of these clauses does not prescribe specific commercial terms or prices. Still, it defines the minimum structural and governance elements required for value-based contracting arrangements within the Saudi private health insurance market.</w:t>
      </w:r>
    </w:p>
    <w:p w14:paraId="4CF37E74" w14:textId="3F48D6BB" w:rsidR="00F93662" w:rsidRPr="0062302C" w:rsidRDefault="29FDD041" w:rsidP="3259D984">
      <w:pPr>
        <w:spacing w:after="0" w:line="240" w:lineRule="auto"/>
        <w:rPr>
          <w:rFonts w:ascii="Calibri" w:hAnsi="Calibri" w:cs="Calibri"/>
        </w:rPr>
      </w:pPr>
      <w:r w:rsidRPr="3259D984">
        <w:rPr>
          <w:rFonts w:ascii="Calibri" w:hAnsi="Calibri" w:cs="Calibri"/>
        </w:rPr>
        <w:t>A contract guideline (</w:t>
      </w:r>
      <w:proofErr w:type="spellStart"/>
      <w:r w:rsidRPr="3259D984">
        <w:rPr>
          <w:rFonts w:ascii="Calibri" w:hAnsi="Calibri" w:cs="Calibri"/>
        </w:rPr>
        <w:t>annexe</w:t>
      </w:r>
      <w:proofErr w:type="spellEnd"/>
      <w:r w:rsidRPr="3259D984">
        <w:rPr>
          <w:rFonts w:ascii="Calibri" w:hAnsi="Calibri" w:cs="Calibri"/>
        </w:rPr>
        <w:t xml:space="preserve"> 1) which was released by CHI, with an example of 1 bundle payment (TNR) that aligns with the bundle journey and the outcomes approved by CHI.</w:t>
      </w:r>
    </w:p>
    <w:p w14:paraId="7C55CD34" w14:textId="5408D7C3" w:rsidR="00F93662" w:rsidRPr="0062302C" w:rsidRDefault="00F93662" w:rsidP="3259D984">
      <w:pPr>
        <w:spacing w:after="0" w:line="240" w:lineRule="auto"/>
        <w:rPr>
          <w:rFonts w:ascii="Calibri" w:hAnsi="Calibri" w:cs="Calibri"/>
        </w:rPr>
      </w:pPr>
    </w:p>
    <w:p w14:paraId="061A627C" w14:textId="3461BB3B" w:rsidR="00F93662" w:rsidRPr="0062302C" w:rsidRDefault="00F93662" w:rsidP="3259D984">
      <w:pPr>
        <w:spacing w:after="0" w:line="240" w:lineRule="auto"/>
        <w:rPr>
          <w:rFonts w:ascii="Calibri" w:hAnsi="Calibri" w:cs="Calibri"/>
        </w:rPr>
      </w:pPr>
    </w:p>
    <w:p w14:paraId="3C335EDD" w14:textId="0C1EDD21" w:rsidR="00F93662" w:rsidRPr="0062302C" w:rsidRDefault="6D83FA56" w:rsidP="0DACE1A3">
      <w:pPr>
        <w:pStyle w:val="Heading2"/>
        <w:rPr>
          <w:rFonts w:ascii="Calibri" w:eastAsia="Calibri" w:hAnsi="Calibri" w:cs="Calibri"/>
          <w:b/>
          <w:bCs/>
        </w:rPr>
      </w:pPr>
      <w:bookmarkStart w:id="15" w:name="_Toc219208387"/>
      <w:r>
        <w:t>4.1 Scope of Services and Episode Definition</w:t>
      </w:r>
      <w:bookmarkEnd w:id="15"/>
    </w:p>
    <w:p w14:paraId="3789579C" w14:textId="60EE7541" w:rsidR="00F93662" w:rsidRPr="0062302C" w:rsidRDefault="6D83FA56" w:rsidP="3259D984">
      <w:pPr>
        <w:spacing w:before="240" w:after="240"/>
      </w:pPr>
      <w:r w:rsidRPr="3259D984">
        <w:rPr>
          <w:rFonts w:ascii="Calibri" w:eastAsia="Calibri" w:hAnsi="Calibri" w:cs="Calibri"/>
        </w:rPr>
        <w:t>Each contract shall clearly define the scope of services covered, including:</w:t>
      </w:r>
    </w:p>
    <w:p w14:paraId="28380803" w14:textId="3F2E4638" w:rsidR="00F93662" w:rsidRPr="0062302C" w:rsidRDefault="6D83FA56" w:rsidP="00DE5532">
      <w:pPr>
        <w:pStyle w:val="ListParagraph"/>
        <w:numPr>
          <w:ilvl w:val="0"/>
          <w:numId w:val="21"/>
        </w:numPr>
        <w:spacing w:before="240" w:after="240"/>
        <w:rPr>
          <w:rFonts w:ascii="Calibri" w:eastAsia="Calibri" w:hAnsi="Calibri" w:cs="Calibri"/>
        </w:rPr>
      </w:pPr>
      <w:r w:rsidRPr="3259D984">
        <w:rPr>
          <w:rFonts w:ascii="Calibri" w:eastAsia="Calibri" w:hAnsi="Calibri" w:cs="Calibri"/>
        </w:rPr>
        <w:t>The covered episode or care pathway, with explicit start and end points of clinical and financial accountability</w:t>
      </w:r>
    </w:p>
    <w:p w14:paraId="3B2A14C8" w14:textId="20FBF6D4" w:rsidR="00F93662" w:rsidRPr="0062302C" w:rsidRDefault="6D83FA56" w:rsidP="00DE5532">
      <w:pPr>
        <w:pStyle w:val="ListParagraph"/>
        <w:numPr>
          <w:ilvl w:val="0"/>
          <w:numId w:val="21"/>
        </w:numPr>
        <w:spacing w:before="240" w:after="240"/>
        <w:rPr>
          <w:rFonts w:ascii="Calibri" w:eastAsia="Calibri" w:hAnsi="Calibri" w:cs="Calibri"/>
        </w:rPr>
      </w:pPr>
      <w:r w:rsidRPr="3259D984">
        <w:rPr>
          <w:rFonts w:ascii="Calibri" w:eastAsia="Calibri" w:hAnsi="Calibri" w:cs="Calibri"/>
        </w:rPr>
        <w:t>Included services across the full care cycle (pre-intervention, intervention, and post-intervention phases)</w:t>
      </w:r>
    </w:p>
    <w:p w14:paraId="15217656" w14:textId="5F62D0F2" w:rsidR="00F93662" w:rsidRPr="0062302C" w:rsidRDefault="6D83FA56" w:rsidP="00DE5532">
      <w:pPr>
        <w:pStyle w:val="ListParagraph"/>
        <w:numPr>
          <w:ilvl w:val="0"/>
          <w:numId w:val="21"/>
        </w:numPr>
        <w:spacing w:before="240" w:after="240"/>
        <w:rPr>
          <w:rFonts w:ascii="Calibri" w:eastAsia="Calibri" w:hAnsi="Calibri" w:cs="Calibri"/>
        </w:rPr>
      </w:pPr>
      <w:r w:rsidRPr="3259D984">
        <w:rPr>
          <w:rFonts w:ascii="Calibri" w:eastAsia="Calibri" w:hAnsi="Calibri" w:cs="Calibri"/>
        </w:rPr>
        <w:t>Explicit exclusions, carve-outs, and services not covered under the contract</w:t>
      </w:r>
    </w:p>
    <w:p w14:paraId="4CE85E5B" w14:textId="4D4DD272" w:rsidR="00F93662" w:rsidRPr="0062302C" w:rsidRDefault="6D83FA56" w:rsidP="00DE5532">
      <w:pPr>
        <w:pStyle w:val="ListParagraph"/>
        <w:numPr>
          <w:ilvl w:val="0"/>
          <w:numId w:val="21"/>
        </w:numPr>
        <w:spacing w:before="240" w:after="240"/>
        <w:rPr>
          <w:rFonts w:ascii="Calibri" w:eastAsia="Calibri" w:hAnsi="Calibri" w:cs="Calibri"/>
        </w:rPr>
      </w:pPr>
      <w:r w:rsidRPr="3259D984">
        <w:rPr>
          <w:rFonts w:ascii="Calibri" w:eastAsia="Calibri" w:hAnsi="Calibri" w:cs="Calibri"/>
        </w:rPr>
        <w:t>Rules governing transfers, referrals, complications, and readmissions related to the episode</w:t>
      </w:r>
    </w:p>
    <w:p w14:paraId="1F1A0450" w14:textId="57ABF97C" w:rsidR="00F93662" w:rsidRPr="0062302C" w:rsidRDefault="6D83FA56" w:rsidP="3259D984">
      <w:pPr>
        <w:spacing w:before="240" w:after="240"/>
      </w:pPr>
      <w:r w:rsidRPr="3259D984">
        <w:rPr>
          <w:rFonts w:ascii="Calibri" w:eastAsia="Calibri" w:hAnsi="Calibri" w:cs="Calibri"/>
        </w:rPr>
        <w:t>Episode definitions shall be clinically coherent, aligned with approved benefit packages, and suitable for outcome and cost measurement.</w:t>
      </w:r>
    </w:p>
    <w:p w14:paraId="15FB7E2F" w14:textId="5378275F" w:rsidR="00F93662" w:rsidRPr="0062302C" w:rsidRDefault="00F93662" w:rsidP="3259D984">
      <w:pPr>
        <w:spacing w:after="0" w:line="240" w:lineRule="auto"/>
        <w:rPr>
          <w:rFonts w:ascii="Calibri" w:hAnsi="Calibri" w:cs="Calibri"/>
        </w:rPr>
      </w:pPr>
    </w:p>
    <w:p w14:paraId="481AB168" w14:textId="7C46CB0D" w:rsidR="00F93662" w:rsidRPr="0062302C" w:rsidRDefault="70ABA54E" w:rsidP="0DACE1A3">
      <w:pPr>
        <w:pStyle w:val="Heading2"/>
        <w:rPr>
          <w:b/>
          <w:bCs/>
        </w:rPr>
      </w:pPr>
      <w:bookmarkStart w:id="16" w:name="_Toc219208388"/>
      <w:r>
        <w:t>4.2 Patient Eligibility, Attribution, and Volume Thresholds</w:t>
      </w:r>
      <w:bookmarkEnd w:id="16"/>
    </w:p>
    <w:p w14:paraId="26914869" w14:textId="7BB29F9C" w:rsidR="00F93662" w:rsidRPr="0062302C" w:rsidRDefault="70ABA54E" w:rsidP="3259D984">
      <w:pPr>
        <w:spacing w:before="240" w:after="240"/>
      </w:pPr>
      <w:r w:rsidRPr="3259D984">
        <w:t>Contracts shall specify:</w:t>
      </w:r>
    </w:p>
    <w:p w14:paraId="20024061" w14:textId="58BB2E87" w:rsidR="00F93662" w:rsidRPr="0062302C" w:rsidRDefault="70ABA54E" w:rsidP="00DE5532">
      <w:pPr>
        <w:pStyle w:val="ListParagraph"/>
        <w:numPr>
          <w:ilvl w:val="0"/>
          <w:numId w:val="20"/>
        </w:numPr>
        <w:spacing w:before="240" w:after="240"/>
      </w:pPr>
      <w:r w:rsidRPr="3259D984">
        <w:t>Patient eligibility criteria and exclusion rules</w:t>
      </w:r>
    </w:p>
    <w:p w14:paraId="5F4016E3" w14:textId="0F4FC251" w:rsidR="00F93662" w:rsidRPr="0062302C" w:rsidRDefault="70ABA54E" w:rsidP="00DE5532">
      <w:pPr>
        <w:pStyle w:val="ListParagraph"/>
        <w:numPr>
          <w:ilvl w:val="0"/>
          <w:numId w:val="20"/>
        </w:numPr>
        <w:spacing w:before="240" w:after="240"/>
      </w:pPr>
      <w:r w:rsidRPr="3259D984">
        <w:lastRenderedPageBreak/>
        <w:t>Attribution methodology for assigning accountability to the provider (prospective or retrospective, as applicable)</w:t>
      </w:r>
    </w:p>
    <w:p w14:paraId="4E4D1DB0" w14:textId="649A3315" w:rsidR="00F93662" w:rsidRPr="0062302C" w:rsidRDefault="70ABA54E" w:rsidP="00DE5532">
      <w:pPr>
        <w:pStyle w:val="ListParagraph"/>
        <w:numPr>
          <w:ilvl w:val="0"/>
          <w:numId w:val="20"/>
        </w:numPr>
        <w:spacing w:before="240" w:after="240"/>
      </w:pPr>
      <w:r w:rsidRPr="3259D984">
        <w:t>Minimum eligible case volume per contract period required to support statistical reliability and fair performance assessment</w:t>
      </w:r>
    </w:p>
    <w:p w14:paraId="374793C2" w14:textId="3A682DD2" w:rsidR="00F93662" w:rsidRPr="0062302C" w:rsidRDefault="70ABA54E" w:rsidP="00DE5532">
      <w:pPr>
        <w:pStyle w:val="ListParagraph"/>
        <w:numPr>
          <w:ilvl w:val="0"/>
          <w:numId w:val="20"/>
        </w:numPr>
        <w:spacing w:before="240" w:after="240"/>
      </w:pPr>
      <w:r w:rsidRPr="3259D984">
        <w:t>Handling of patient choice, provider switching, and continuity of care</w:t>
      </w:r>
    </w:p>
    <w:p w14:paraId="3750A5EA" w14:textId="34452A69" w:rsidR="00F93662" w:rsidRPr="0062302C" w:rsidRDefault="70ABA54E" w:rsidP="0DACE1A3">
      <w:pPr>
        <w:pStyle w:val="Heading2"/>
        <w:rPr>
          <w:b/>
          <w:bCs/>
        </w:rPr>
      </w:pPr>
      <w:bookmarkStart w:id="17" w:name="_Toc219208389"/>
      <w:r>
        <w:t>4.3 Outcome, Quality, and Performance Measures</w:t>
      </w:r>
      <w:bookmarkEnd w:id="17"/>
    </w:p>
    <w:p w14:paraId="188CF15D" w14:textId="4B77C4F4" w:rsidR="00F93662" w:rsidRPr="0062302C" w:rsidRDefault="70ABA54E" w:rsidP="3259D984">
      <w:pPr>
        <w:spacing w:before="240" w:after="240"/>
      </w:pPr>
      <w:r w:rsidRPr="3259D984">
        <w:t>Each contract shall include a defined set of outcome and quality measures, specifying:</w:t>
      </w:r>
    </w:p>
    <w:p w14:paraId="55E5866A" w14:textId="504F2C0D" w:rsidR="00F93662" w:rsidRPr="0062302C" w:rsidRDefault="70ABA54E" w:rsidP="00DE5532">
      <w:pPr>
        <w:pStyle w:val="ListParagraph"/>
        <w:numPr>
          <w:ilvl w:val="0"/>
          <w:numId w:val="19"/>
        </w:numPr>
        <w:spacing w:before="240" w:after="240"/>
      </w:pPr>
      <w:r w:rsidRPr="3259D984">
        <w:t>Clinical outcome indicators relevant to the episode or population</w:t>
      </w:r>
    </w:p>
    <w:p w14:paraId="2C0D1CF4" w14:textId="4EB998D3" w:rsidR="00F93662" w:rsidRPr="0062302C" w:rsidRDefault="70ABA54E" w:rsidP="00DE5532">
      <w:pPr>
        <w:pStyle w:val="ListParagraph"/>
        <w:numPr>
          <w:ilvl w:val="0"/>
          <w:numId w:val="19"/>
        </w:numPr>
        <w:spacing w:before="240" w:after="240"/>
      </w:pPr>
      <w:r w:rsidRPr="3259D984">
        <w:t>Patient-Reported Outcome Measures (PROMs), and Patient-Reported Experience Measures (PREMs) where applicable</w:t>
      </w:r>
    </w:p>
    <w:p w14:paraId="2001A399" w14:textId="7994235B" w:rsidR="00F93662" w:rsidRPr="0062302C" w:rsidRDefault="70ABA54E" w:rsidP="00DE5532">
      <w:pPr>
        <w:pStyle w:val="ListParagraph"/>
        <w:numPr>
          <w:ilvl w:val="0"/>
          <w:numId w:val="19"/>
        </w:numPr>
        <w:spacing w:before="240" w:after="240"/>
      </w:pPr>
      <w:r w:rsidRPr="3259D984">
        <w:t>Safety and appropriateness indicators, as relevant</w:t>
      </w:r>
    </w:p>
    <w:p w14:paraId="39B50FB4" w14:textId="08137E8F" w:rsidR="00F93662" w:rsidRPr="0062302C" w:rsidRDefault="70ABA54E" w:rsidP="00DE5532">
      <w:pPr>
        <w:pStyle w:val="ListParagraph"/>
        <w:numPr>
          <w:ilvl w:val="0"/>
          <w:numId w:val="19"/>
        </w:numPr>
        <w:spacing w:before="240" w:after="240"/>
      </w:pPr>
      <w:r w:rsidRPr="3259D984">
        <w:t>Measure definitions, numerators, denominators, exclusions, and reporting frequency</w:t>
      </w:r>
    </w:p>
    <w:p w14:paraId="0129E086" w14:textId="62114BA0" w:rsidR="00F93662" w:rsidRPr="0062302C" w:rsidRDefault="70ABA54E" w:rsidP="00DE5532">
      <w:pPr>
        <w:pStyle w:val="ListParagraph"/>
        <w:numPr>
          <w:ilvl w:val="0"/>
          <w:numId w:val="19"/>
        </w:numPr>
        <w:spacing w:before="240" w:after="240"/>
      </w:pPr>
      <w:r w:rsidRPr="3259D984">
        <w:t>Time horizon of data collection</w:t>
      </w:r>
    </w:p>
    <w:p w14:paraId="26577203" w14:textId="55A5ADDF" w:rsidR="00F93662" w:rsidRPr="0062302C" w:rsidRDefault="70ABA54E" w:rsidP="3259D984">
      <w:pPr>
        <w:spacing w:before="240" w:after="240"/>
      </w:pPr>
      <w:r w:rsidRPr="3259D984">
        <w:t>Contracts shall clarify whether measures function as:</w:t>
      </w:r>
    </w:p>
    <w:p w14:paraId="1D44EDD2" w14:textId="798E5D6E" w:rsidR="00F93662" w:rsidRPr="0062302C" w:rsidRDefault="70ABA54E" w:rsidP="00DE5532">
      <w:pPr>
        <w:pStyle w:val="ListParagraph"/>
        <w:numPr>
          <w:ilvl w:val="0"/>
          <w:numId w:val="18"/>
        </w:numPr>
        <w:spacing w:before="240" w:after="240"/>
      </w:pPr>
      <w:r w:rsidRPr="3259D984">
        <w:t>Eligibility or quality gates.</w:t>
      </w:r>
    </w:p>
    <w:p w14:paraId="0E2525AB" w14:textId="494532F3" w:rsidR="00F93662" w:rsidRPr="0062302C" w:rsidRDefault="70ABA54E" w:rsidP="00DE5532">
      <w:pPr>
        <w:pStyle w:val="ListParagraph"/>
        <w:numPr>
          <w:ilvl w:val="0"/>
          <w:numId w:val="18"/>
        </w:numPr>
        <w:spacing w:before="240" w:after="240"/>
      </w:pPr>
      <w:r w:rsidRPr="3259D984">
        <w:t>Performance thresholds or financial modifiers affecting settlement.</w:t>
      </w:r>
    </w:p>
    <w:p w14:paraId="284ECE25" w14:textId="5E599AE7" w:rsidR="00F93662" w:rsidRPr="0062302C" w:rsidRDefault="70ABA54E" w:rsidP="0DACE1A3">
      <w:pPr>
        <w:pStyle w:val="Heading2"/>
        <w:rPr>
          <w:rFonts w:ascii="Aptos" w:eastAsia="Aptos" w:hAnsi="Aptos" w:cs="Aptos"/>
          <w:b/>
          <w:bCs/>
        </w:rPr>
      </w:pPr>
      <w:bookmarkStart w:id="18" w:name="_Toc219208390"/>
      <w:r>
        <w:t>4.4 Risk Adjustment and Case-Mix Protection</w:t>
      </w:r>
      <w:bookmarkEnd w:id="18"/>
    </w:p>
    <w:p w14:paraId="09A98830" w14:textId="6350957D" w:rsidR="00F93662" w:rsidRPr="0062302C" w:rsidRDefault="70ABA54E" w:rsidP="3259D984">
      <w:pPr>
        <w:spacing w:before="240" w:after="240"/>
      </w:pPr>
      <w:r w:rsidRPr="3259D984">
        <w:rPr>
          <w:rFonts w:ascii="Aptos" w:eastAsia="Aptos" w:hAnsi="Aptos" w:cs="Aptos"/>
        </w:rPr>
        <w:t>Contracts shall specify the risk adjustment methodology applied to outcome and cost evaluation, including:</w:t>
      </w:r>
    </w:p>
    <w:p w14:paraId="30EC2AF4" w14:textId="76D2019A" w:rsidR="00F93662" w:rsidRPr="0062302C" w:rsidRDefault="70ABA54E" w:rsidP="00DE5532">
      <w:pPr>
        <w:pStyle w:val="ListParagraph"/>
        <w:numPr>
          <w:ilvl w:val="0"/>
          <w:numId w:val="17"/>
        </w:numPr>
        <w:spacing w:before="240" w:after="240"/>
        <w:rPr>
          <w:rFonts w:ascii="Aptos" w:eastAsia="Aptos" w:hAnsi="Aptos" w:cs="Aptos"/>
        </w:rPr>
      </w:pPr>
      <w:r w:rsidRPr="3259D984">
        <w:rPr>
          <w:rFonts w:ascii="Aptos" w:eastAsia="Aptos" w:hAnsi="Aptos" w:cs="Aptos"/>
        </w:rPr>
        <w:t>Variables used for risk adjustment (e.g. clinical severity, comorbidities, demographic factors)</w:t>
      </w:r>
      <w:r w:rsidR="0A22F58E" w:rsidRPr="3259D984">
        <w:rPr>
          <w:rFonts w:ascii="Aptos" w:eastAsia="Aptos" w:hAnsi="Aptos" w:cs="Aptos"/>
        </w:rPr>
        <w:t xml:space="preserve"> where outcomes or costs influence financial settlement.</w:t>
      </w:r>
    </w:p>
    <w:p w14:paraId="262658A5" w14:textId="483AC066" w:rsidR="00F93662" w:rsidRPr="0062302C" w:rsidRDefault="70ABA54E" w:rsidP="00DE5532">
      <w:pPr>
        <w:pStyle w:val="ListParagraph"/>
        <w:numPr>
          <w:ilvl w:val="0"/>
          <w:numId w:val="17"/>
        </w:numPr>
        <w:spacing w:before="240" w:after="240"/>
        <w:rPr>
          <w:rFonts w:ascii="Aptos" w:eastAsia="Aptos" w:hAnsi="Aptos" w:cs="Aptos"/>
        </w:rPr>
      </w:pPr>
      <w:r w:rsidRPr="3259D984">
        <w:rPr>
          <w:rFonts w:ascii="Aptos" w:eastAsia="Aptos" w:hAnsi="Aptos" w:cs="Aptos"/>
        </w:rPr>
        <w:t>Treatment of high-risk or outlier cases</w:t>
      </w:r>
    </w:p>
    <w:p w14:paraId="6B0B5F0B" w14:textId="58E82C2C" w:rsidR="00F93662" w:rsidRPr="0062302C" w:rsidRDefault="70ABA54E" w:rsidP="00DE5532">
      <w:pPr>
        <w:pStyle w:val="ListParagraph"/>
        <w:numPr>
          <w:ilvl w:val="0"/>
          <w:numId w:val="17"/>
        </w:numPr>
        <w:spacing w:before="240" w:after="240"/>
        <w:rPr>
          <w:rFonts w:ascii="Aptos" w:eastAsia="Aptos" w:hAnsi="Aptos" w:cs="Aptos"/>
        </w:rPr>
      </w:pPr>
      <w:r w:rsidRPr="3259D984">
        <w:rPr>
          <w:rFonts w:ascii="Aptos" w:eastAsia="Aptos" w:hAnsi="Aptos" w:cs="Aptos"/>
        </w:rPr>
        <w:t>Safeguards against risk selection and inappropriate case exclusion</w:t>
      </w:r>
    </w:p>
    <w:p w14:paraId="0BD21EBC" w14:textId="51A3BD05" w:rsidR="00F93662" w:rsidRPr="0062302C" w:rsidRDefault="1A0B9DFA" w:rsidP="0DACE1A3">
      <w:pPr>
        <w:pStyle w:val="Heading2"/>
        <w:rPr>
          <w:rFonts w:ascii="Aptos" w:eastAsia="Aptos" w:hAnsi="Aptos" w:cs="Aptos"/>
          <w:b/>
          <w:bCs/>
        </w:rPr>
      </w:pPr>
      <w:bookmarkStart w:id="19" w:name="_Toc219208391"/>
      <w:r>
        <w:t>4.5 Benchmarking and Economic Parameters</w:t>
      </w:r>
      <w:bookmarkEnd w:id="19"/>
    </w:p>
    <w:p w14:paraId="4535FD13" w14:textId="739DACA0" w:rsidR="00F93662" w:rsidRPr="0062302C" w:rsidRDefault="1A0B9DFA" w:rsidP="3259D984">
      <w:pPr>
        <w:spacing w:before="240" w:after="240"/>
      </w:pPr>
      <w:r w:rsidRPr="3259D984">
        <w:rPr>
          <w:rFonts w:ascii="Aptos" w:eastAsia="Aptos" w:hAnsi="Aptos" w:cs="Aptos"/>
        </w:rPr>
        <w:t>Each contract shall document:</w:t>
      </w:r>
    </w:p>
    <w:p w14:paraId="003D69B7" w14:textId="6F8B500E" w:rsidR="00F93662" w:rsidRPr="0062302C" w:rsidRDefault="1A0B9DFA" w:rsidP="00DE5532">
      <w:pPr>
        <w:pStyle w:val="ListParagraph"/>
        <w:numPr>
          <w:ilvl w:val="0"/>
          <w:numId w:val="16"/>
        </w:numPr>
        <w:spacing w:before="240" w:after="240"/>
        <w:rPr>
          <w:rFonts w:ascii="Aptos" w:eastAsia="Aptos" w:hAnsi="Aptos" w:cs="Aptos"/>
        </w:rPr>
      </w:pPr>
      <w:r w:rsidRPr="3259D984">
        <w:rPr>
          <w:rFonts w:ascii="Aptos" w:eastAsia="Aptos" w:hAnsi="Aptos" w:cs="Aptos"/>
        </w:rPr>
        <w:t>Baseline period used to establish benchmarks</w:t>
      </w:r>
      <w:r w:rsidR="4F777379" w:rsidRPr="3259D984">
        <w:rPr>
          <w:rFonts w:ascii="Aptos" w:eastAsia="Aptos" w:hAnsi="Aptos" w:cs="Aptos"/>
        </w:rPr>
        <w:t xml:space="preserve"> and b</w:t>
      </w:r>
      <w:r w:rsidRPr="3259D984">
        <w:rPr>
          <w:rFonts w:ascii="Aptos" w:eastAsia="Aptos" w:hAnsi="Aptos" w:cs="Aptos"/>
        </w:rPr>
        <w:t>enchmark calculation methodology</w:t>
      </w:r>
    </w:p>
    <w:p w14:paraId="4867060F" w14:textId="6E19C5AA" w:rsidR="00F93662" w:rsidRPr="0062302C" w:rsidRDefault="1A0B9DFA" w:rsidP="00DE5532">
      <w:pPr>
        <w:pStyle w:val="ListParagraph"/>
        <w:numPr>
          <w:ilvl w:val="0"/>
          <w:numId w:val="16"/>
        </w:numPr>
        <w:spacing w:before="240" w:after="240"/>
        <w:rPr>
          <w:rFonts w:ascii="Aptos" w:eastAsia="Aptos" w:hAnsi="Aptos" w:cs="Aptos"/>
        </w:rPr>
      </w:pPr>
      <w:r w:rsidRPr="3259D984">
        <w:rPr>
          <w:rFonts w:ascii="Aptos" w:eastAsia="Aptos" w:hAnsi="Aptos" w:cs="Aptos"/>
        </w:rPr>
        <w:t>Treatment of outliers and catastrophic cases</w:t>
      </w:r>
    </w:p>
    <w:p w14:paraId="4CF066B7" w14:textId="4F4AE482" w:rsidR="00F93662" w:rsidRPr="0062302C" w:rsidRDefault="1A0B9DFA" w:rsidP="00DE5532">
      <w:pPr>
        <w:pStyle w:val="ListParagraph"/>
        <w:numPr>
          <w:ilvl w:val="0"/>
          <w:numId w:val="16"/>
        </w:numPr>
        <w:spacing w:before="240" w:after="240"/>
        <w:rPr>
          <w:rFonts w:ascii="Aptos" w:eastAsia="Aptos" w:hAnsi="Aptos" w:cs="Aptos"/>
        </w:rPr>
      </w:pPr>
      <w:r w:rsidRPr="3259D984">
        <w:rPr>
          <w:rFonts w:ascii="Aptos" w:eastAsia="Aptos" w:hAnsi="Aptos" w:cs="Aptos"/>
        </w:rPr>
        <w:t>Minimum Savings Rate (MSR) and/or Minimum Loss Rate (MLR), where applicable</w:t>
      </w:r>
    </w:p>
    <w:p w14:paraId="75A0E294" w14:textId="78D99572" w:rsidR="00F93662" w:rsidRPr="0062302C" w:rsidRDefault="1A0B9DFA" w:rsidP="00DE5532">
      <w:pPr>
        <w:pStyle w:val="ListParagraph"/>
        <w:numPr>
          <w:ilvl w:val="0"/>
          <w:numId w:val="16"/>
        </w:numPr>
        <w:spacing w:before="240" w:after="240"/>
        <w:rPr>
          <w:rFonts w:ascii="Aptos" w:eastAsia="Aptos" w:hAnsi="Aptos" w:cs="Aptos"/>
        </w:rPr>
      </w:pPr>
      <w:r w:rsidRPr="3259D984">
        <w:rPr>
          <w:rFonts w:ascii="Aptos" w:eastAsia="Aptos" w:hAnsi="Aptos" w:cs="Aptos"/>
        </w:rPr>
        <w:lastRenderedPageBreak/>
        <w:t>Risk corridors, stop-loss, or protection mechanisms</w:t>
      </w:r>
    </w:p>
    <w:p w14:paraId="080F5A85" w14:textId="6FD8D442" w:rsidR="00F93662" w:rsidRPr="0062302C" w:rsidRDefault="00F93662" w:rsidP="3259D984">
      <w:pPr>
        <w:spacing w:before="240" w:after="240"/>
        <w:rPr>
          <w:rFonts w:ascii="Aptos" w:eastAsia="Aptos" w:hAnsi="Aptos" w:cs="Aptos"/>
        </w:rPr>
      </w:pPr>
    </w:p>
    <w:p w14:paraId="6C2940F4" w14:textId="3003C8F5" w:rsidR="00F93662" w:rsidRPr="0062302C" w:rsidRDefault="3C265B68" w:rsidP="3259D984">
      <w:pPr>
        <w:spacing w:before="240" w:after="240"/>
        <w:rPr>
          <w:rFonts w:ascii="Aptos" w:eastAsia="Aptos" w:hAnsi="Aptos" w:cs="Aptos"/>
        </w:rPr>
      </w:pPr>
      <w:r w:rsidRPr="2CD5189A">
        <w:rPr>
          <w:rFonts w:ascii="Aptos" w:eastAsia="Aptos" w:hAnsi="Aptos" w:cs="Aptos"/>
        </w:rPr>
        <w:t xml:space="preserve">The contract should also include clauses on financial incentives, risk sharing, </w:t>
      </w:r>
      <w:r w:rsidR="11F1711A" w:rsidRPr="2CD5189A">
        <w:rPr>
          <w:rFonts w:ascii="Aptos" w:eastAsia="Aptos" w:hAnsi="Aptos" w:cs="Aptos"/>
        </w:rPr>
        <w:t xml:space="preserve">and </w:t>
      </w:r>
      <w:r w:rsidRPr="2CD5189A">
        <w:rPr>
          <w:rFonts w:ascii="Aptos" w:eastAsia="Aptos" w:hAnsi="Aptos" w:cs="Aptos"/>
        </w:rPr>
        <w:t xml:space="preserve">settlement that </w:t>
      </w:r>
      <w:r w:rsidR="5C96EEFD" w:rsidRPr="2CD5189A">
        <w:rPr>
          <w:rFonts w:ascii="Aptos" w:eastAsia="Aptos" w:hAnsi="Aptos" w:cs="Aptos"/>
        </w:rPr>
        <w:t>align</w:t>
      </w:r>
      <w:r w:rsidR="292628D3" w:rsidRPr="2CD5189A">
        <w:rPr>
          <w:rFonts w:ascii="Aptos" w:eastAsia="Aptos" w:hAnsi="Aptos" w:cs="Aptos"/>
        </w:rPr>
        <w:t xml:space="preserve"> </w:t>
      </w:r>
      <w:r w:rsidRPr="2CD5189A">
        <w:rPr>
          <w:rFonts w:ascii="Aptos" w:eastAsia="Aptos" w:hAnsi="Aptos" w:cs="Aptos"/>
        </w:rPr>
        <w:t>with</w:t>
      </w:r>
      <w:r w:rsidR="57ADB832" w:rsidRPr="2CD5189A">
        <w:rPr>
          <w:rFonts w:ascii="Aptos" w:eastAsia="Aptos" w:hAnsi="Aptos" w:cs="Aptos"/>
        </w:rPr>
        <w:t xml:space="preserve"> </w:t>
      </w:r>
      <w:r w:rsidR="6A6586CD" w:rsidRPr="2CD5189A">
        <w:rPr>
          <w:rFonts w:ascii="Aptos" w:eastAsia="Aptos" w:hAnsi="Aptos" w:cs="Aptos"/>
        </w:rPr>
        <w:t xml:space="preserve">the regulators’ </w:t>
      </w:r>
      <w:r w:rsidR="57ADB832" w:rsidRPr="2CD5189A">
        <w:rPr>
          <w:rFonts w:ascii="Aptos" w:eastAsia="Aptos" w:hAnsi="Aptos" w:cs="Aptos"/>
        </w:rPr>
        <w:t>RCM policies</w:t>
      </w:r>
      <w:r w:rsidR="7F587F0B" w:rsidRPr="2CD5189A">
        <w:rPr>
          <w:rFonts w:ascii="Aptos" w:eastAsia="Aptos" w:hAnsi="Aptos" w:cs="Aptos"/>
        </w:rPr>
        <w:t>.</w:t>
      </w:r>
      <w:r w:rsidRPr="2CD5189A">
        <w:rPr>
          <w:rFonts w:ascii="Aptos" w:eastAsia="Aptos" w:hAnsi="Aptos" w:cs="Aptos"/>
        </w:rPr>
        <w:t xml:space="preserve"> </w:t>
      </w:r>
      <w:r w:rsidR="3D67E5C3" w:rsidRPr="2CD5189A">
        <w:rPr>
          <w:rFonts w:ascii="Aptos" w:eastAsia="Aptos" w:hAnsi="Aptos" w:cs="Aptos"/>
        </w:rPr>
        <w:t>D</w:t>
      </w:r>
      <w:r w:rsidRPr="2CD5189A">
        <w:rPr>
          <w:rFonts w:ascii="Aptos" w:eastAsia="Aptos" w:hAnsi="Aptos" w:cs="Aptos"/>
        </w:rPr>
        <w:t xml:space="preserve">ata </w:t>
      </w:r>
      <w:r w:rsidR="75F85FCC" w:rsidRPr="2CD5189A">
        <w:rPr>
          <w:rFonts w:ascii="Aptos" w:eastAsia="Aptos" w:hAnsi="Aptos" w:cs="Aptos"/>
        </w:rPr>
        <w:t>s</w:t>
      </w:r>
      <w:r w:rsidRPr="2CD5189A">
        <w:rPr>
          <w:rFonts w:ascii="Aptos" w:eastAsia="Aptos" w:hAnsi="Aptos" w:cs="Aptos"/>
        </w:rPr>
        <w:t>ources,</w:t>
      </w:r>
      <w:r w:rsidR="0AEEC824" w:rsidRPr="2CD5189A">
        <w:rPr>
          <w:rFonts w:ascii="Aptos" w:eastAsia="Aptos" w:hAnsi="Aptos" w:cs="Aptos"/>
        </w:rPr>
        <w:t xml:space="preserve"> patient protection and Access Safeguards</w:t>
      </w:r>
      <w:r w:rsidR="798459C8" w:rsidRPr="2CD5189A">
        <w:rPr>
          <w:rFonts w:ascii="Aptos" w:eastAsia="Aptos" w:hAnsi="Aptos" w:cs="Aptos"/>
        </w:rPr>
        <w:t xml:space="preserve"> are also important clauses. In the same contrast, the clauses related to contract duration, modification, </w:t>
      </w:r>
      <w:r w:rsidR="1C9A7167" w:rsidRPr="2CD5189A">
        <w:rPr>
          <w:rFonts w:ascii="Aptos" w:eastAsia="Aptos" w:hAnsi="Aptos" w:cs="Aptos"/>
        </w:rPr>
        <w:t xml:space="preserve">dispute resolution, </w:t>
      </w:r>
      <w:r w:rsidR="798459C8" w:rsidRPr="2CD5189A">
        <w:rPr>
          <w:rFonts w:ascii="Aptos" w:eastAsia="Aptos" w:hAnsi="Aptos" w:cs="Aptos"/>
        </w:rPr>
        <w:t>and termination</w:t>
      </w:r>
      <w:r w:rsidR="0FE1F91D" w:rsidRPr="2CD5189A">
        <w:rPr>
          <w:rFonts w:ascii="Aptos" w:eastAsia="Aptos" w:hAnsi="Aptos" w:cs="Aptos"/>
        </w:rPr>
        <w:t xml:space="preserve"> (</w:t>
      </w:r>
      <w:r w:rsidR="0FE1F91D" w:rsidRPr="2CD5189A">
        <w:rPr>
          <w:rFonts w:ascii="Aptos" w:eastAsia="Aptos" w:hAnsi="Aptos" w:cs="Aptos"/>
          <w:highlight w:val="yellow"/>
        </w:rPr>
        <w:t>11</w:t>
      </w:r>
      <w:r w:rsidR="0FE1F91D" w:rsidRPr="2CD5189A">
        <w:rPr>
          <w:rFonts w:ascii="Aptos" w:eastAsia="Aptos" w:hAnsi="Aptos" w:cs="Aptos"/>
        </w:rPr>
        <w:t>).</w:t>
      </w:r>
    </w:p>
    <w:p w14:paraId="0FCEA8F7" w14:textId="77777777" w:rsidR="005C771B" w:rsidRDefault="005C771B" w:rsidP="009A7569">
      <w:pPr>
        <w:spacing w:after="0" w:line="240" w:lineRule="auto"/>
        <w:rPr>
          <w:rFonts w:ascii="Calibri" w:hAnsi="Calibri" w:cs="Calibri"/>
        </w:rPr>
      </w:pPr>
    </w:p>
    <w:p w14:paraId="61D7E543" w14:textId="77777777" w:rsidR="004D3FF9" w:rsidRDefault="004D3FF9" w:rsidP="009A7569">
      <w:pPr>
        <w:spacing w:after="0" w:line="240" w:lineRule="auto"/>
        <w:rPr>
          <w:rFonts w:ascii="Calibri" w:hAnsi="Calibri" w:cs="Calibri"/>
        </w:rPr>
      </w:pPr>
    </w:p>
    <w:p w14:paraId="6450DD10" w14:textId="77777777" w:rsidR="004D3FF9" w:rsidRPr="004D3FF9" w:rsidRDefault="004D3FF9" w:rsidP="0DACE1A3">
      <w:pPr>
        <w:pStyle w:val="Heading1"/>
        <w:rPr>
          <w:rFonts w:ascii="Calibri" w:hAnsi="Calibri" w:cs="Calibri"/>
        </w:rPr>
      </w:pPr>
      <w:bookmarkStart w:id="20" w:name="_Toc219208392"/>
      <w:r>
        <w:t>Conclusion</w:t>
      </w:r>
      <w:bookmarkEnd w:id="20"/>
    </w:p>
    <w:p w14:paraId="0D3D8C1A" w14:textId="77777777" w:rsidR="004D3FF9" w:rsidRPr="004D3FF9" w:rsidRDefault="004D3FF9" w:rsidP="004D3FF9">
      <w:pPr>
        <w:spacing w:after="0" w:line="240" w:lineRule="auto"/>
        <w:rPr>
          <w:rFonts w:ascii="Calibri" w:hAnsi="Calibri" w:cs="Calibri"/>
        </w:rPr>
      </w:pPr>
    </w:p>
    <w:p w14:paraId="72D2C302" w14:textId="0176BF72" w:rsidR="004D3FF9" w:rsidRPr="004D3FF9" w:rsidRDefault="004D3FF9" w:rsidP="2713411B">
      <w:pPr>
        <w:spacing w:after="0" w:line="240" w:lineRule="auto"/>
        <w:rPr>
          <w:rFonts w:ascii="Calibri" w:hAnsi="Calibri" w:cs="Calibri"/>
        </w:rPr>
      </w:pPr>
      <w:r w:rsidRPr="2713411B">
        <w:rPr>
          <w:rFonts w:ascii="Calibri" w:hAnsi="Calibri" w:cs="Calibri"/>
        </w:rPr>
        <w:t xml:space="preserve">Value-Based Contracting represents a critical mechanism for translating Saudi Arabia’s VBHC vision into contractual reality within the private health insurance sector. This can be done by building on existing bundled payment initiatives and applying a phased, evidence-informed approach supporting: </w:t>
      </w:r>
    </w:p>
    <w:p w14:paraId="265A97A9" w14:textId="14B0BEE5" w:rsidR="004D3FF9" w:rsidRPr="004D3FF9" w:rsidRDefault="004D3FF9" w:rsidP="00DE5532">
      <w:pPr>
        <w:pStyle w:val="ListParagraph"/>
        <w:numPr>
          <w:ilvl w:val="0"/>
          <w:numId w:val="9"/>
        </w:numPr>
        <w:spacing w:after="0" w:line="240" w:lineRule="auto"/>
        <w:rPr>
          <w:rFonts w:ascii="Calibri" w:hAnsi="Calibri" w:cs="Calibri"/>
        </w:rPr>
      </w:pPr>
      <w:r w:rsidRPr="004D3FF9">
        <w:rPr>
          <w:rFonts w:ascii="Calibri" w:hAnsi="Calibri" w:cs="Calibri"/>
        </w:rPr>
        <w:t xml:space="preserve">Improved outcomes for </w:t>
      </w:r>
      <w:r>
        <w:rPr>
          <w:rFonts w:ascii="Calibri" w:hAnsi="Calibri" w:cs="Calibri"/>
        </w:rPr>
        <w:t>a healthy nation</w:t>
      </w:r>
      <w:r w:rsidRPr="004D3FF9">
        <w:rPr>
          <w:rFonts w:ascii="Calibri" w:hAnsi="Calibri" w:cs="Calibri"/>
        </w:rPr>
        <w:t>,</w:t>
      </w:r>
    </w:p>
    <w:p w14:paraId="48CAE827" w14:textId="58013DD3" w:rsidR="004D3FF9" w:rsidRPr="004D3FF9" w:rsidRDefault="004D3FF9" w:rsidP="00DE5532">
      <w:pPr>
        <w:pStyle w:val="ListParagraph"/>
        <w:numPr>
          <w:ilvl w:val="0"/>
          <w:numId w:val="9"/>
        </w:numPr>
        <w:spacing w:after="0" w:line="240" w:lineRule="auto"/>
        <w:rPr>
          <w:rFonts w:ascii="Calibri" w:hAnsi="Calibri" w:cs="Calibri"/>
        </w:rPr>
      </w:pPr>
      <w:r w:rsidRPr="004D3FF9">
        <w:rPr>
          <w:rFonts w:ascii="Calibri" w:hAnsi="Calibri" w:cs="Calibri"/>
        </w:rPr>
        <w:t>Sustainable provider participation,</w:t>
      </w:r>
    </w:p>
    <w:p w14:paraId="6E4B43C7" w14:textId="2B38F42A" w:rsidR="004D3FF9" w:rsidRPr="004D3FF9" w:rsidRDefault="004D3FF9" w:rsidP="00DE5532">
      <w:pPr>
        <w:pStyle w:val="ListParagraph"/>
        <w:numPr>
          <w:ilvl w:val="0"/>
          <w:numId w:val="9"/>
        </w:numPr>
        <w:spacing w:after="0" w:line="240" w:lineRule="auto"/>
        <w:rPr>
          <w:rFonts w:ascii="Calibri" w:hAnsi="Calibri" w:cs="Calibri"/>
        </w:rPr>
      </w:pPr>
      <w:r w:rsidRPr="004D3FF9">
        <w:rPr>
          <w:rFonts w:ascii="Calibri" w:hAnsi="Calibri" w:cs="Calibri"/>
        </w:rPr>
        <w:t>Long-term efficiency and resilience of the private health insurance market.</w:t>
      </w:r>
    </w:p>
    <w:p w14:paraId="6325C93F" w14:textId="5906CEA3" w:rsidR="52FAFB54" w:rsidRDefault="52FAFB54" w:rsidP="3259D984">
      <w:pPr>
        <w:spacing w:after="0" w:line="240" w:lineRule="auto"/>
      </w:pPr>
      <w:r w:rsidRPr="3259D984">
        <w:rPr>
          <w:rFonts w:ascii="Calibri" w:eastAsia="Calibri" w:hAnsi="Calibri" w:cs="Calibri"/>
        </w:rPr>
        <w:t>At a macroeconomic level, improved outcomes and reduced avoidable utilization contribute to labor productivity, mitigate healthcare cost inflation pressures, and support the long-term affordability and sustainability of private health insurance, in alignment with Vision 2030 objectives.</w:t>
      </w:r>
    </w:p>
    <w:p w14:paraId="0CDE7EAA" w14:textId="77777777" w:rsidR="002E29E5" w:rsidRPr="00E43E9B" w:rsidRDefault="002E29E5" w:rsidP="009A7569">
      <w:pPr>
        <w:spacing w:after="0" w:line="240" w:lineRule="auto"/>
        <w:rPr>
          <w:rFonts w:ascii="Calibri" w:hAnsi="Calibri" w:cs="Calibri"/>
        </w:rPr>
      </w:pPr>
    </w:p>
    <w:p w14:paraId="702B3313" w14:textId="721F2E2A" w:rsidR="3E03C973" w:rsidRDefault="3E03C973" w:rsidP="0DACE1A3">
      <w:pPr>
        <w:pStyle w:val="Heading1"/>
        <w:rPr>
          <w:rFonts w:hint="eastAsia"/>
        </w:rPr>
      </w:pPr>
      <w:bookmarkStart w:id="21" w:name="_Toc219208393"/>
      <w:r>
        <w:t>References (</w:t>
      </w:r>
      <w:r w:rsidRPr="0DACE1A3">
        <w:rPr>
          <w:highlight w:val="yellow"/>
        </w:rPr>
        <w:t>to be added from the library</w:t>
      </w:r>
      <w:r>
        <w:t>):</w:t>
      </w:r>
      <w:bookmarkEnd w:id="21"/>
    </w:p>
    <w:p w14:paraId="23C1D9F2" w14:textId="77777777" w:rsidR="75FCC3AC" w:rsidRDefault="75FCC3AC" w:rsidP="0DACE1A3">
      <w:pPr>
        <w:pStyle w:val="EndNoteBibliography"/>
        <w:spacing w:after="0"/>
        <w:rPr>
          <w:rFonts w:ascii="Calibri" w:hAnsi="Calibri" w:cs="Calibri"/>
          <w:noProof/>
        </w:rPr>
      </w:pPr>
      <w:r w:rsidRPr="0DACE1A3">
        <w:rPr>
          <w:rFonts w:ascii="Calibri" w:hAnsi="Calibri" w:cs="Calibri"/>
          <w:noProof/>
        </w:rPr>
        <w:t>1.</w:t>
      </w:r>
      <w:r>
        <w:tab/>
      </w:r>
      <w:r w:rsidRPr="0DACE1A3">
        <w:rPr>
          <w:rFonts w:ascii="Calibri" w:hAnsi="Calibri" w:cs="Calibri"/>
          <w:noProof/>
        </w:rPr>
        <w:t>Porter M. Redefining health care: creating value-based competition on results: Harvard Business Press; 2006.</w:t>
      </w:r>
    </w:p>
    <w:p w14:paraId="1E2954D8" w14:textId="77777777" w:rsidR="75FCC3AC" w:rsidRDefault="75FCC3AC" w:rsidP="0DACE1A3">
      <w:pPr>
        <w:pStyle w:val="EndNoteBibliography"/>
        <w:rPr>
          <w:rFonts w:ascii="Calibri" w:hAnsi="Calibri" w:cs="Calibri"/>
          <w:noProof/>
        </w:rPr>
      </w:pPr>
      <w:r w:rsidRPr="0DACE1A3">
        <w:rPr>
          <w:rFonts w:ascii="Calibri" w:hAnsi="Calibri" w:cs="Calibri"/>
          <w:noProof/>
        </w:rPr>
        <w:t>2.</w:t>
      </w:r>
      <w:r>
        <w:tab/>
      </w:r>
      <w:r w:rsidRPr="0DACE1A3">
        <w:rPr>
          <w:rFonts w:ascii="Calibri" w:hAnsi="Calibri" w:cs="Calibri"/>
          <w:noProof/>
        </w:rPr>
        <w:t>Porter ME. What is value in health care? N Engl J Med. 2010;363(26):2477-81.</w:t>
      </w:r>
    </w:p>
    <w:p w14:paraId="7E4A6819" w14:textId="77777777" w:rsidR="75FCC3AC" w:rsidRDefault="75FCC3AC" w:rsidP="0DACE1A3">
      <w:pPr>
        <w:pStyle w:val="EndNoteBibliography"/>
        <w:rPr>
          <w:rFonts w:ascii="Calibri" w:hAnsi="Calibri" w:cs="Calibri"/>
          <w:noProof/>
        </w:rPr>
      </w:pPr>
    </w:p>
    <w:p w14:paraId="37EC6DD7" w14:textId="77777777" w:rsidR="75FCC3AC" w:rsidRDefault="75FCC3AC" w:rsidP="0DACE1A3">
      <w:pPr>
        <w:pStyle w:val="EndNoteBibliography"/>
        <w:rPr>
          <w:rFonts w:ascii="Calibri" w:hAnsi="Calibri" w:cs="Calibri"/>
          <w:noProof/>
        </w:rPr>
      </w:pPr>
    </w:p>
    <w:p w14:paraId="76D271F6" w14:textId="38222112" w:rsidR="75FCC3AC" w:rsidRDefault="75FCC3AC" w:rsidP="00DE5532">
      <w:pPr>
        <w:pStyle w:val="ListParagraph"/>
        <w:numPr>
          <w:ilvl w:val="0"/>
          <w:numId w:val="23"/>
        </w:numPr>
        <w:spacing w:before="240" w:after="240"/>
        <w:rPr>
          <w:noProof/>
        </w:rPr>
      </w:pPr>
      <w:r w:rsidRPr="0DACE1A3">
        <w:rPr>
          <w:noProof/>
        </w:rPr>
        <w:t xml:space="preserve">OECD. </w:t>
      </w:r>
      <w:r w:rsidRPr="0DACE1A3">
        <w:rPr>
          <w:i/>
          <w:iCs/>
          <w:noProof/>
        </w:rPr>
        <w:t>Innovative Providers’ Payment Models for Promoting Value-Based Health Systems</w:t>
      </w:r>
      <w:r w:rsidRPr="0DACE1A3">
        <w:rPr>
          <w:noProof/>
        </w:rPr>
        <w:t>. Organisation for Economic Co-operation and Development (2023).</w:t>
      </w:r>
    </w:p>
    <w:p w14:paraId="093C4C74" w14:textId="41C11B28" w:rsidR="75FCC3AC" w:rsidRDefault="75FCC3AC" w:rsidP="00DE5532">
      <w:pPr>
        <w:pStyle w:val="ListParagraph"/>
        <w:numPr>
          <w:ilvl w:val="0"/>
          <w:numId w:val="23"/>
        </w:numPr>
        <w:spacing w:before="240" w:after="240"/>
        <w:rPr>
          <w:noProof/>
        </w:rPr>
      </w:pPr>
      <w:r w:rsidRPr="0DACE1A3">
        <w:rPr>
          <w:noProof/>
        </w:rPr>
        <w:t xml:space="preserve">MedLibreText. </w:t>
      </w:r>
      <w:r w:rsidRPr="0DACE1A3">
        <w:rPr>
          <w:i/>
          <w:iCs/>
          <w:noProof/>
        </w:rPr>
        <w:t>5.3: Value-Based Contracting in Healthcare</w:t>
      </w:r>
      <w:r w:rsidRPr="0DACE1A3">
        <w:rPr>
          <w:noProof/>
        </w:rPr>
        <w:t xml:space="preserve"> (LibreTexts, 2024). </w:t>
      </w:r>
    </w:p>
    <w:p w14:paraId="5C90B6FA" w14:textId="69DC962C" w:rsidR="75FCC3AC" w:rsidRDefault="75FCC3AC" w:rsidP="00DE5532">
      <w:pPr>
        <w:pStyle w:val="ListParagraph"/>
        <w:numPr>
          <w:ilvl w:val="0"/>
          <w:numId w:val="23"/>
        </w:numPr>
        <w:spacing w:before="240" w:after="240"/>
        <w:rPr>
          <w:noProof/>
        </w:rPr>
      </w:pPr>
      <w:r w:rsidRPr="0DACE1A3">
        <w:rPr>
          <w:noProof/>
        </w:rPr>
        <w:t xml:space="preserve">Outland, B. E. </w:t>
      </w:r>
      <w:r w:rsidRPr="0DACE1A3">
        <w:rPr>
          <w:i/>
          <w:iCs/>
          <w:noProof/>
        </w:rPr>
        <w:t>Modernizing Risk Adjustment in Health Care: A Position</w:t>
      </w:r>
      <w:r w:rsidRPr="0DACE1A3">
        <w:rPr>
          <w:noProof/>
        </w:rPr>
        <w:t xml:space="preserve"> (Annals of Internal Medicine, 2025).</w:t>
      </w:r>
    </w:p>
    <w:p w14:paraId="35573826" w14:textId="1313A057" w:rsidR="75FCC3AC" w:rsidRDefault="75FCC3AC" w:rsidP="00DE5532">
      <w:pPr>
        <w:pStyle w:val="ListParagraph"/>
        <w:numPr>
          <w:ilvl w:val="0"/>
          <w:numId w:val="23"/>
        </w:numPr>
        <w:spacing w:before="240" w:after="240"/>
        <w:rPr>
          <w:noProof/>
        </w:rPr>
      </w:pPr>
      <w:r w:rsidRPr="0DACE1A3">
        <w:rPr>
          <w:noProof/>
        </w:rPr>
        <w:lastRenderedPageBreak/>
        <w:t xml:space="preserve">Panturu, A. </w:t>
      </w:r>
      <w:r w:rsidRPr="0DACE1A3">
        <w:rPr>
          <w:i/>
          <w:iCs/>
          <w:noProof/>
        </w:rPr>
        <w:t>A Framework for the Design of Risk-Adjustment Models</w:t>
      </w:r>
      <w:r w:rsidRPr="0DACE1A3">
        <w:rPr>
          <w:noProof/>
        </w:rPr>
        <w:t xml:space="preserve"> (Health Services Research, 2025). </w:t>
      </w:r>
    </w:p>
    <w:p w14:paraId="7FDE2E03" w14:textId="07ACFF55" w:rsidR="75FCC3AC" w:rsidRDefault="75FCC3AC" w:rsidP="00DE5532">
      <w:pPr>
        <w:pStyle w:val="ListParagraph"/>
        <w:numPr>
          <w:ilvl w:val="0"/>
          <w:numId w:val="23"/>
        </w:numPr>
        <w:spacing w:before="240" w:after="240"/>
        <w:rPr>
          <w:noProof/>
        </w:rPr>
      </w:pPr>
      <w:r w:rsidRPr="0DACE1A3">
        <w:rPr>
          <w:noProof/>
        </w:rPr>
        <w:t xml:space="preserve">Conrad, D. A. </w:t>
      </w:r>
      <w:r w:rsidRPr="0DACE1A3">
        <w:rPr>
          <w:i/>
          <w:iCs/>
          <w:noProof/>
        </w:rPr>
        <w:t>The Theory of Value-Based Payment Incentives and Their Outcomes</w:t>
      </w:r>
      <w:r w:rsidRPr="0DACE1A3">
        <w:rPr>
          <w:noProof/>
        </w:rPr>
        <w:t xml:space="preserve"> (Health Services Research, 2015).</w:t>
      </w:r>
    </w:p>
    <w:p w14:paraId="04F71427" w14:textId="3CE9D542" w:rsidR="0DACE1A3" w:rsidRDefault="0DACE1A3" w:rsidP="0DACE1A3"/>
    <w:p w14:paraId="63128007" w14:textId="52AAD49F" w:rsidR="0DACE1A3" w:rsidRDefault="0DACE1A3" w:rsidP="0DACE1A3">
      <w:pPr>
        <w:spacing w:after="0" w:line="240" w:lineRule="auto"/>
        <w:rPr>
          <w:rFonts w:ascii="Calibri" w:hAnsi="Calibri" w:cs="Calibri"/>
        </w:rPr>
      </w:pPr>
    </w:p>
    <w:p w14:paraId="5144777B" w14:textId="5E5B9741" w:rsidR="005C771B" w:rsidRDefault="005C771B" w:rsidP="0DACE1A3">
      <w:pPr>
        <w:pStyle w:val="Heading1"/>
        <w:rPr>
          <w:rFonts w:ascii="Calibri" w:hAnsi="Calibri" w:cs="Calibri"/>
        </w:rPr>
      </w:pPr>
      <w:r>
        <w:br w:type="page"/>
      </w:r>
      <w:bookmarkStart w:id="22" w:name="_Toc219208394"/>
      <w:r w:rsidR="5A638479">
        <w:lastRenderedPageBreak/>
        <w:t>Annexes (contract template, principles map, measure specs)</w:t>
      </w:r>
      <w:bookmarkEnd w:id="22"/>
    </w:p>
    <w:p w14:paraId="026775D3" w14:textId="3BDFCB9C" w:rsidR="005C771B" w:rsidRDefault="001D38DC" w:rsidP="0DACE1A3">
      <w:pPr>
        <w:pStyle w:val="Heading3"/>
        <w:rPr>
          <w:rFonts w:ascii="Calibri" w:hAnsi="Calibri" w:cs="Calibri"/>
          <w:b/>
          <w:bCs/>
        </w:rPr>
      </w:pPr>
      <w:r>
        <w:t>ANNEXE 1</w:t>
      </w:r>
      <w:r w:rsidR="62839F1A">
        <w:t xml:space="preserve">: </w:t>
      </w:r>
      <w:r w:rsidR="10670B45">
        <w:t>C</w:t>
      </w:r>
      <w:r w:rsidR="62839F1A">
        <w:t>ontract template</w:t>
      </w:r>
    </w:p>
    <w:p w14:paraId="671A06CD" w14:textId="29EC3BCD" w:rsidR="001D38DC" w:rsidRDefault="00743B1F">
      <w:pPr>
        <w:rPr>
          <w:rFonts w:ascii="Calibri" w:hAnsi="Calibri" w:cs="Calibri"/>
          <w:b/>
          <w:bCs/>
        </w:rPr>
      </w:pPr>
      <w:r>
        <w:rPr>
          <w:rFonts w:ascii="Calibri" w:hAnsi="Calibri" w:cs="Calibri"/>
          <w:b/>
          <w:bCs/>
          <w:highlight w:val="yellow"/>
        </w:rPr>
        <w:t xml:space="preserve">Screenshots of the </w:t>
      </w:r>
      <w:r w:rsidR="001D38DC" w:rsidRPr="001D38DC">
        <w:rPr>
          <w:rFonts w:ascii="Calibri" w:hAnsi="Calibri" w:cs="Calibri"/>
          <w:b/>
          <w:bCs/>
          <w:highlight w:val="yellow"/>
        </w:rPr>
        <w:t>CONTRACT</w:t>
      </w:r>
      <w:r>
        <w:rPr>
          <w:rFonts w:ascii="Calibri" w:hAnsi="Calibri" w:cs="Calibri"/>
          <w:b/>
          <w:bCs/>
        </w:rPr>
        <w:t xml:space="preserve"> guide.</w:t>
      </w:r>
    </w:p>
    <w:p w14:paraId="473DBBC5" w14:textId="69A39C96" w:rsidR="00743B1F" w:rsidRDefault="00743B1F">
      <w:pPr>
        <w:rPr>
          <w:rFonts w:ascii="Calibri" w:hAnsi="Calibri" w:cs="Calibri"/>
          <w:b/>
          <w:bCs/>
        </w:rPr>
      </w:pPr>
      <w:r w:rsidRPr="00743B1F">
        <w:rPr>
          <w:rFonts w:ascii="Calibri" w:hAnsi="Calibri" w:cs="Calibri"/>
          <w:b/>
          <w:bCs/>
        </w:rPr>
        <w:drawing>
          <wp:inline distT="0" distB="0" distL="0" distR="0" wp14:anchorId="44BB0E31" wp14:editId="05F8D4ED">
            <wp:extent cx="3848431" cy="3417487"/>
            <wp:effectExtent l="0" t="0" r="0" b="0"/>
            <wp:docPr id="8739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8371" name=""/>
                    <pic:cNvPicPr/>
                  </pic:nvPicPr>
                  <pic:blipFill>
                    <a:blip r:embed="rId20"/>
                    <a:stretch>
                      <a:fillRect/>
                    </a:stretch>
                  </pic:blipFill>
                  <pic:spPr>
                    <a:xfrm>
                      <a:off x="0" y="0"/>
                      <a:ext cx="3851429" cy="3420149"/>
                    </a:xfrm>
                    <a:prstGeom prst="rect">
                      <a:avLst/>
                    </a:prstGeom>
                  </pic:spPr>
                </pic:pic>
              </a:graphicData>
            </a:graphic>
          </wp:inline>
        </w:drawing>
      </w:r>
    </w:p>
    <w:p w14:paraId="48CA821F" w14:textId="158D97F5" w:rsidR="00BB5A49" w:rsidRPr="001D38DC" w:rsidRDefault="00BB5A49">
      <w:pPr>
        <w:rPr>
          <w:rFonts w:ascii="Calibri" w:hAnsi="Calibri" w:cs="Calibri"/>
          <w:b/>
          <w:bCs/>
        </w:rPr>
      </w:pPr>
      <w:r w:rsidRPr="00BB5A49">
        <w:rPr>
          <w:rFonts w:ascii="Calibri" w:hAnsi="Calibri" w:cs="Calibri"/>
          <w:b/>
          <w:bCs/>
        </w:rPr>
        <w:drawing>
          <wp:inline distT="0" distB="0" distL="0" distR="0" wp14:anchorId="740B4BC5" wp14:editId="421D7F8F">
            <wp:extent cx="3172570" cy="3572630"/>
            <wp:effectExtent l="0" t="0" r="8890" b="8890"/>
            <wp:docPr id="129420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04529" name=""/>
                    <pic:cNvPicPr/>
                  </pic:nvPicPr>
                  <pic:blipFill>
                    <a:blip r:embed="rId21"/>
                    <a:stretch>
                      <a:fillRect/>
                    </a:stretch>
                  </pic:blipFill>
                  <pic:spPr>
                    <a:xfrm>
                      <a:off x="0" y="0"/>
                      <a:ext cx="3174825" cy="3575169"/>
                    </a:xfrm>
                    <a:prstGeom prst="rect">
                      <a:avLst/>
                    </a:prstGeom>
                  </pic:spPr>
                </pic:pic>
              </a:graphicData>
            </a:graphic>
          </wp:inline>
        </w:drawing>
      </w:r>
    </w:p>
    <w:p w14:paraId="2AAAC7DD" w14:textId="4DA9B7F3" w:rsidR="001D38DC" w:rsidRPr="001D38DC" w:rsidRDefault="001D38DC" w:rsidP="0DACE1A3">
      <w:pPr>
        <w:pStyle w:val="Heading3"/>
        <w:rPr>
          <w:rFonts w:ascii="Calibri" w:hAnsi="Calibri" w:cs="Calibri"/>
          <w:b/>
          <w:bCs/>
        </w:rPr>
      </w:pPr>
      <w:r>
        <w:lastRenderedPageBreak/>
        <w:t>ANNEXE 2</w:t>
      </w:r>
      <w:r w:rsidR="49F9CC95">
        <w:t>: VBC principles</w:t>
      </w:r>
    </w:p>
    <w:tbl>
      <w:tblPr>
        <w:tblStyle w:val="GridTable4-Accent1"/>
        <w:tblW w:w="0" w:type="auto"/>
        <w:tblLook w:val="04A0" w:firstRow="1" w:lastRow="0" w:firstColumn="1" w:lastColumn="0" w:noHBand="0" w:noVBand="1"/>
      </w:tblPr>
      <w:tblGrid>
        <w:gridCol w:w="2147"/>
        <w:gridCol w:w="5314"/>
        <w:gridCol w:w="2452"/>
      </w:tblGrid>
      <w:tr w:rsidR="006D5DB9" w:rsidRPr="00AB7712" w14:paraId="0A974279" w14:textId="77777777" w:rsidTr="271341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A8CFF" w14:textId="74ACD8B7" w:rsidR="001D38DC" w:rsidRPr="00AB7712" w:rsidRDefault="001D38DC" w:rsidP="001D38DC">
            <w:pPr>
              <w:jc w:val="center"/>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 xml:space="preserve">VBC Principle </w:t>
            </w:r>
          </w:p>
        </w:tc>
        <w:tc>
          <w:tcPr>
            <w:tcW w:w="0" w:type="auto"/>
            <w:hideMark/>
          </w:tcPr>
          <w:p w14:paraId="2D5FFBB0" w14:textId="13D56A0F" w:rsidR="001D38DC" w:rsidRPr="00AB7712" w:rsidRDefault="001D38DC" w:rsidP="2713411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 xml:space="preserve">How the Principle Is </w:t>
            </w:r>
            <w:r w:rsidR="007C27B9" w:rsidRPr="00AB7712">
              <w:rPr>
                <w:rFonts w:ascii="Times New Roman" w:eastAsia="Times New Roman" w:hAnsi="Times New Roman" w:cs="Times New Roman"/>
                <w:kern w:val="0"/>
                <w:sz w:val="22"/>
                <w:szCs w:val="22"/>
                <w14:ligatures w14:val="none"/>
              </w:rPr>
              <w:t>Operationalized</w:t>
            </w:r>
            <w:r w:rsidRPr="00AB7712">
              <w:rPr>
                <w:rFonts w:ascii="Times New Roman" w:eastAsia="Times New Roman" w:hAnsi="Times New Roman" w:cs="Times New Roman"/>
                <w:kern w:val="0"/>
                <w:sz w:val="22"/>
                <w:szCs w:val="22"/>
                <w14:ligatures w14:val="none"/>
              </w:rPr>
              <w:t xml:space="preserve"> in the </w:t>
            </w:r>
            <w:r w:rsidRPr="00AB7712">
              <w:rPr>
                <w:rFonts w:ascii="Times New Roman" w:eastAsia="Times New Roman" w:hAnsi="Times New Roman" w:cs="Times New Roman"/>
                <w:b w:val="0"/>
                <w:bCs w:val="0"/>
                <w:kern w:val="0"/>
                <w:sz w:val="22"/>
                <w:szCs w:val="22"/>
                <w14:ligatures w14:val="none"/>
              </w:rPr>
              <w:t>VBC</w:t>
            </w:r>
          </w:p>
        </w:tc>
        <w:tc>
          <w:tcPr>
            <w:tcW w:w="0" w:type="auto"/>
            <w:hideMark/>
          </w:tcPr>
          <w:p w14:paraId="56475BBD" w14:textId="77777777" w:rsidR="001D38DC" w:rsidRPr="00AB7712" w:rsidRDefault="001D38DC" w:rsidP="001D38D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Regulatory Intent</w:t>
            </w:r>
          </w:p>
        </w:tc>
      </w:tr>
      <w:tr w:rsidR="006D5DB9" w:rsidRPr="00AB7712" w14:paraId="372A9F84" w14:textId="77777777" w:rsidTr="27134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DC324" w14:textId="77777777" w:rsidR="001D38DC" w:rsidRPr="00AB7712" w:rsidRDefault="001D38DC" w:rsidP="2713411B">
            <w:pPr>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Value Definition (Outcomes relative to cost)</w:t>
            </w:r>
          </w:p>
        </w:tc>
        <w:tc>
          <w:tcPr>
            <w:tcW w:w="0" w:type="auto"/>
            <w:hideMark/>
          </w:tcPr>
          <w:p w14:paraId="41943C35" w14:textId="77777777" w:rsidR="001D38DC" w:rsidRPr="00AB7712" w:rsidRDefault="001D38DC" w:rsidP="001D38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Each bundle defines a fixed episode price covering pre-, intra-, and post-intervention care. Performance is assessed using outcome and quality indicators tied to the episode rather than individual services.</w:t>
            </w:r>
          </w:p>
        </w:tc>
        <w:tc>
          <w:tcPr>
            <w:tcW w:w="0" w:type="auto"/>
            <w:hideMark/>
          </w:tcPr>
          <w:p w14:paraId="6ED687F4" w14:textId="44E07617" w:rsidR="001D38DC" w:rsidRPr="00AB7712" w:rsidRDefault="001D38DC" w:rsidP="271341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 xml:space="preserve">Shift </w:t>
            </w:r>
            <w:r w:rsidR="00AB7712" w:rsidRPr="00AB7712">
              <w:rPr>
                <w:rFonts w:ascii="Times New Roman" w:eastAsia="Times New Roman" w:hAnsi="Times New Roman" w:cs="Times New Roman"/>
                <w:kern w:val="0"/>
                <w:sz w:val="22"/>
                <w:szCs w:val="22"/>
                <w14:ligatures w14:val="none"/>
              </w:rPr>
              <w:t>providers</w:t>
            </w:r>
            <w:r w:rsidRPr="00AB7712">
              <w:rPr>
                <w:rFonts w:ascii="Times New Roman" w:eastAsia="Times New Roman" w:hAnsi="Times New Roman" w:cs="Times New Roman"/>
                <w:kern w:val="0"/>
                <w:sz w:val="22"/>
                <w:szCs w:val="22"/>
                <w14:ligatures w14:val="none"/>
              </w:rPr>
              <w:t xml:space="preserve"> focus from service volume to episode-level value.</w:t>
            </w:r>
          </w:p>
        </w:tc>
      </w:tr>
      <w:tr w:rsidR="001D38DC" w:rsidRPr="00AB7712" w14:paraId="3A9AAB1F" w14:textId="77777777" w:rsidTr="2713411B">
        <w:tc>
          <w:tcPr>
            <w:cnfStyle w:val="001000000000" w:firstRow="0" w:lastRow="0" w:firstColumn="1" w:lastColumn="0" w:oddVBand="0" w:evenVBand="0" w:oddHBand="0" w:evenHBand="0" w:firstRowFirstColumn="0" w:firstRowLastColumn="0" w:lastRowFirstColumn="0" w:lastRowLastColumn="0"/>
            <w:tcW w:w="0" w:type="auto"/>
            <w:hideMark/>
          </w:tcPr>
          <w:p w14:paraId="793658CD" w14:textId="77777777" w:rsidR="001D38DC" w:rsidRPr="00AB7712" w:rsidRDefault="001D38DC" w:rsidP="001D38DC">
            <w:pPr>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Outcome Orientation</w:t>
            </w:r>
          </w:p>
        </w:tc>
        <w:tc>
          <w:tcPr>
            <w:tcW w:w="0" w:type="auto"/>
            <w:hideMark/>
          </w:tcPr>
          <w:p w14:paraId="34F9A61C" w14:textId="77777777" w:rsidR="001D38DC" w:rsidRPr="00AB7712" w:rsidRDefault="001D38DC" w:rsidP="2713411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Bundles include mandatory outcome and/or quality measures (clinical outcomes, complications, readmissions, PROMs where feasible). Financial incentives are applied only if outcome thresholds are met.</w:t>
            </w:r>
          </w:p>
        </w:tc>
        <w:tc>
          <w:tcPr>
            <w:tcW w:w="0" w:type="auto"/>
            <w:hideMark/>
          </w:tcPr>
          <w:p w14:paraId="686660C1" w14:textId="31377F3C" w:rsidR="001D38DC" w:rsidRPr="00AB7712" w:rsidRDefault="00AB7712" w:rsidP="001D38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Ensuring</w:t>
            </w:r>
            <w:r w:rsidR="001D38DC" w:rsidRPr="00AB7712">
              <w:rPr>
                <w:rFonts w:ascii="Times New Roman" w:eastAsia="Times New Roman" w:hAnsi="Times New Roman" w:cs="Times New Roman"/>
                <w:kern w:val="0"/>
                <w:sz w:val="22"/>
                <w:szCs w:val="22"/>
                <w14:ligatures w14:val="none"/>
              </w:rPr>
              <w:t xml:space="preserve"> bundles evolve beyond price-based reimbursement.</w:t>
            </w:r>
          </w:p>
        </w:tc>
      </w:tr>
      <w:tr w:rsidR="006D5DB9" w:rsidRPr="00AB7712" w14:paraId="1335035D" w14:textId="77777777" w:rsidTr="27134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3AA63" w14:textId="77777777" w:rsidR="001D38DC" w:rsidRPr="00AB7712" w:rsidRDefault="001D38DC" w:rsidP="001D38DC">
            <w:pPr>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Fairness and Patient Protection</w:t>
            </w:r>
          </w:p>
        </w:tc>
        <w:tc>
          <w:tcPr>
            <w:tcW w:w="0" w:type="auto"/>
            <w:hideMark/>
          </w:tcPr>
          <w:p w14:paraId="53CC87E8" w14:textId="77777777" w:rsidR="001D38DC" w:rsidRPr="00AB7712" w:rsidRDefault="001D38DC" w:rsidP="271341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Risk adjustment is applied to outcome and cost evaluation. Exclusion criteria (e.g., extreme complexity) and stop-loss mechanisms are defined. Providers remain accountable for clinical appropriateness and continuity of care.</w:t>
            </w:r>
          </w:p>
        </w:tc>
        <w:tc>
          <w:tcPr>
            <w:tcW w:w="0" w:type="auto"/>
            <w:hideMark/>
          </w:tcPr>
          <w:p w14:paraId="6886B75B" w14:textId="77777777" w:rsidR="001D38DC" w:rsidRPr="00AB7712" w:rsidRDefault="001D38DC" w:rsidP="271341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Prevent risk selection and under-provision of care.</w:t>
            </w:r>
          </w:p>
        </w:tc>
      </w:tr>
      <w:tr w:rsidR="001D38DC" w:rsidRPr="00AB7712" w14:paraId="1430F2EE" w14:textId="77777777" w:rsidTr="2713411B">
        <w:tc>
          <w:tcPr>
            <w:cnfStyle w:val="001000000000" w:firstRow="0" w:lastRow="0" w:firstColumn="1" w:lastColumn="0" w:oddVBand="0" w:evenVBand="0" w:oddHBand="0" w:evenHBand="0" w:firstRowFirstColumn="0" w:firstRowLastColumn="0" w:lastRowFirstColumn="0" w:lastRowLastColumn="0"/>
            <w:tcW w:w="0" w:type="auto"/>
            <w:hideMark/>
          </w:tcPr>
          <w:p w14:paraId="73CED070" w14:textId="77777777" w:rsidR="001D38DC" w:rsidRPr="00AB7712" w:rsidRDefault="001D38DC" w:rsidP="001D38DC">
            <w:pPr>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Transparency and Predictability</w:t>
            </w:r>
          </w:p>
        </w:tc>
        <w:tc>
          <w:tcPr>
            <w:tcW w:w="0" w:type="auto"/>
            <w:hideMark/>
          </w:tcPr>
          <w:p w14:paraId="601F47BB" w14:textId="77777777" w:rsidR="001D38DC" w:rsidRPr="00AB7712" w:rsidRDefault="001D38DC" w:rsidP="2713411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Episode definitions, measure specifications, benchmark methodology, and settlement rules are documented and shared ex-ante with providers and payers.</w:t>
            </w:r>
          </w:p>
        </w:tc>
        <w:tc>
          <w:tcPr>
            <w:tcW w:w="0" w:type="auto"/>
            <w:hideMark/>
          </w:tcPr>
          <w:p w14:paraId="2B0FB21E" w14:textId="77777777" w:rsidR="001D38DC" w:rsidRPr="00AB7712" w:rsidRDefault="001D38DC" w:rsidP="001D38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Reduce disputes and enhance provider confidence.</w:t>
            </w:r>
          </w:p>
        </w:tc>
      </w:tr>
      <w:tr w:rsidR="006D5DB9" w:rsidRPr="00AB7712" w14:paraId="4C001324" w14:textId="77777777" w:rsidTr="27134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4599F" w14:textId="77777777" w:rsidR="001D38DC" w:rsidRPr="00AB7712" w:rsidRDefault="001D38DC" w:rsidP="001D38DC">
            <w:pPr>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Shared Accountability</w:t>
            </w:r>
          </w:p>
        </w:tc>
        <w:tc>
          <w:tcPr>
            <w:tcW w:w="0" w:type="auto"/>
            <w:hideMark/>
          </w:tcPr>
          <w:p w14:paraId="374EF557" w14:textId="77777777" w:rsidR="001D38DC" w:rsidRPr="00AB7712" w:rsidRDefault="001D38DC" w:rsidP="271341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Providers are accountable for care delivery and outcomes within the episode; payers are accountable for timely data provision, beneficiary eligibility confirmation, and settlement.</w:t>
            </w:r>
          </w:p>
        </w:tc>
        <w:tc>
          <w:tcPr>
            <w:tcW w:w="0" w:type="auto"/>
            <w:hideMark/>
          </w:tcPr>
          <w:p w14:paraId="6B26D681" w14:textId="77777777" w:rsidR="001D38DC" w:rsidRPr="00AB7712" w:rsidRDefault="001D38DC" w:rsidP="271341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Balance responsibilities across contracting parties.</w:t>
            </w:r>
          </w:p>
        </w:tc>
      </w:tr>
      <w:tr w:rsidR="001D38DC" w:rsidRPr="00AB7712" w14:paraId="3D508DF2" w14:textId="77777777" w:rsidTr="2713411B">
        <w:tc>
          <w:tcPr>
            <w:cnfStyle w:val="001000000000" w:firstRow="0" w:lastRow="0" w:firstColumn="1" w:lastColumn="0" w:oddVBand="0" w:evenVBand="0" w:oddHBand="0" w:evenHBand="0" w:firstRowFirstColumn="0" w:firstRowLastColumn="0" w:lastRowFirstColumn="0" w:lastRowLastColumn="0"/>
            <w:tcW w:w="0" w:type="auto"/>
            <w:hideMark/>
          </w:tcPr>
          <w:p w14:paraId="39EB24B8" w14:textId="77777777" w:rsidR="001D38DC" w:rsidRPr="00AB7712" w:rsidRDefault="001D38DC" w:rsidP="001D38DC">
            <w:pPr>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Phased Risk Adoption</w:t>
            </w:r>
          </w:p>
        </w:tc>
        <w:tc>
          <w:tcPr>
            <w:tcW w:w="0" w:type="auto"/>
            <w:hideMark/>
          </w:tcPr>
          <w:p w14:paraId="0CEC7C1E" w14:textId="77777777" w:rsidR="001D38DC" w:rsidRPr="00AB7712" w:rsidRDefault="001D38DC" w:rsidP="2713411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Initial bundles focus on fixed prices and outcome-linked upside incentives. Two-sided risk may be introduced in later phases for providers demonstrating readiness.</w:t>
            </w:r>
          </w:p>
        </w:tc>
        <w:tc>
          <w:tcPr>
            <w:tcW w:w="0" w:type="auto"/>
            <w:hideMark/>
          </w:tcPr>
          <w:p w14:paraId="67623322" w14:textId="77777777" w:rsidR="001D38DC" w:rsidRPr="00AB7712" w:rsidRDefault="001D38DC" w:rsidP="001D38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Protect market stability and provider sustainability.</w:t>
            </w:r>
          </w:p>
        </w:tc>
      </w:tr>
      <w:tr w:rsidR="006D5DB9" w:rsidRPr="00AB7712" w14:paraId="1272FFEB" w14:textId="77777777" w:rsidTr="27134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25AA6" w14:textId="77777777" w:rsidR="001D38DC" w:rsidRPr="00AB7712" w:rsidRDefault="001D38DC" w:rsidP="001D38DC">
            <w:pPr>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Data Integrity and Measurement Credibility</w:t>
            </w:r>
          </w:p>
        </w:tc>
        <w:tc>
          <w:tcPr>
            <w:tcW w:w="0" w:type="auto"/>
            <w:hideMark/>
          </w:tcPr>
          <w:p w14:paraId="163C7510" w14:textId="77777777" w:rsidR="001D38DC" w:rsidRPr="00AB7712" w:rsidRDefault="001D38DC" w:rsidP="271341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Bundles rely on agreed data sources (claims, clinical records, outcome tools). Providers are required to meet minimum data completeness and coding standards.</w:t>
            </w:r>
          </w:p>
        </w:tc>
        <w:tc>
          <w:tcPr>
            <w:tcW w:w="0" w:type="auto"/>
            <w:hideMark/>
          </w:tcPr>
          <w:p w14:paraId="2863A9BA" w14:textId="77777777" w:rsidR="001D38DC" w:rsidRPr="00AB7712" w:rsidRDefault="001D38DC" w:rsidP="001D38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Ensure credibility of performance assessment.</w:t>
            </w:r>
          </w:p>
        </w:tc>
      </w:tr>
      <w:tr w:rsidR="001D38DC" w:rsidRPr="00AB7712" w14:paraId="5175FA3D" w14:textId="77777777" w:rsidTr="2713411B">
        <w:tc>
          <w:tcPr>
            <w:cnfStyle w:val="001000000000" w:firstRow="0" w:lastRow="0" w:firstColumn="1" w:lastColumn="0" w:oddVBand="0" w:evenVBand="0" w:oddHBand="0" w:evenHBand="0" w:firstRowFirstColumn="0" w:firstRowLastColumn="0" w:lastRowFirstColumn="0" w:lastRowLastColumn="0"/>
            <w:tcW w:w="0" w:type="auto"/>
            <w:hideMark/>
          </w:tcPr>
          <w:p w14:paraId="60D08873" w14:textId="77777777" w:rsidR="001D38DC" w:rsidRPr="00AB7712" w:rsidRDefault="001D38DC" w:rsidP="001D38DC">
            <w:pPr>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Continuous Improvement</w:t>
            </w:r>
          </w:p>
        </w:tc>
        <w:tc>
          <w:tcPr>
            <w:tcW w:w="0" w:type="auto"/>
            <w:hideMark/>
          </w:tcPr>
          <w:p w14:paraId="3B0F98D1" w14:textId="77777777" w:rsidR="001D38DC" w:rsidRPr="00AB7712" w:rsidRDefault="001D38DC" w:rsidP="2713411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Bundle performance reports are used to identify variation, inform pathway refinement, and update outcome benchmarks over time.</w:t>
            </w:r>
          </w:p>
        </w:tc>
        <w:tc>
          <w:tcPr>
            <w:tcW w:w="0" w:type="auto"/>
            <w:hideMark/>
          </w:tcPr>
          <w:p w14:paraId="60665920" w14:textId="77777777" w:rsidR="001D38DC" w:rsidRPr="00AB7712" w:rsidRDefault="001D38DC" w:rsidP="001D38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Promote system learning and quality improvement.</w:t>
            </w:r>
          </w:p>
        </w:tc>
      </w:tr>
      <w:tr w:rsidR="006D5DB9" w:rsidRPr="00AB7712" w14:paraId="37E924BE" w14:textId="77777777" w:rsidTr="27134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DD94B" w14:textId="77777777" w:rsidR="001D38DC" w:rsidRPr="00AB7712" w:rsidRDefault="001D38DC" w:rsidP="001D38DC">
            <w:pPr>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Alignment with National Objectives</w:t>
            </w:r>
          </w:p>
        </w:tc>
        <w:tc>
          <w:tcPr>
            <w:tcW w:w="0" w:type="auto"/>
            <w:hideMark/>
          </w:tcPr>
          <w:p w14:paraId="4C55D1A3" w14:textId="77777777" w:rsidR="001D38DC" w:rsidRPr="00AB7712" w:rsidRDefault="001D38DC" w:rsidP="271341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Bundle selection and outcome focus align with Vision 2030 goals, benefit package optimization, and sustainability of private health insurance.</w:t>
            </w:r>
          </w:p>
        </w:tc>
        <w:tc>
          <w:tcPr>
            <w:tcW w:w="0" w:type="auto"/>
            <w:hideMark/>
          </w:tcPr>
          <w:p w14:paraId="13582752" w14:textId="77777777" w:rsidR="001D38DC" w:rsidRPr="00AB7712" w:rsidRDefault="001D38DC" w:rsidP="001D38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B7712">
              <w:rPr>
                <w:rFonts w:ascii="Times New Roman" w:eastAsia="Times New Roman" w:hAnsi="Times New Roman" w:cs="Times New Roman"/>
                <w:kern w:val="0"/>
                <w:sz w:val="22"/>
                <w:szCs w:val="22"/>
                <w14:ligatures w14:val="none"/>
              </w:rPr>
              <w:t>Ensure system-level impact beyond individual contracts.</w:t>
            </w:r>
          </w:p>
        </w:tc>
      </w:tr>
    </w:tbl>
    <w:p w14:paraId="5D90D75E" w14:textId="77777777" w:rsidR="001D38DC" w:rsidRPr="00E43E9B" w:rsidRDefault="001D38DC">
      <w:pPr>
        <w:rPr>
          <w:rFonts w:ascii="Calibri" w:hAnsi="Calibri" w:cs="Calibri"/>
        </w:rPr>
      </w:pPr>
    </w:p>
    <w:p w14:paraId="534F5F1F" w14:textId="77777777" w:rsidR="002E29E5" w:rsidRPr="00E43E9B" w:rsidRDefault="002E29E5" w:rsidP="009A7569">
      <w:pPr>
        <w:spacing w:after="0" w:line="240" w:lineRule="auto"/>
        <w:rPr>
          <w:rFonts w:ascii="Calibri" w:hAnsi="Calibri" w:cs="Calibri"/>
        </w:rPr>
      </w:pPr>
    </w:p>
    <w:p w14:paraId="6F39C7AF" w14:textId="18E93B56" w:rsidR="00E72FE3" w:rsidRDefault="00E72FE3" w:rsidP="0DACE1A3">
      <w:pPr>
        <w:pStyle w:val="Heading3"/>
        <w:rPr>
          <w:rFonts w:hint="eastAsia"/>
        </w:rPr>
      </w:pPr>
    </w:p>
    <w:p w14:paraId="7813951F" w14:textId="60BE2AA9" w:rsidR="00E72FE3" w:rsidRDefault="00E72FE3" w:rsidP="00E72FE3">
      <w:r>
        <w:br w:type="page"/>
      </w:r>
    </w:p>
    <w:p w14:paraId="4556C805" w14:textId="5D108241" w:rsidR="00E72FE3" w:rsidRDefault="00563D3C" w:rsidP="0DACE1A3">
      <w:pPr>
        <w:pStyle w:val="Heading3"/>
        <w:rPr>
          <w:rFonts w:ascii="Calibri" w:eastAsia="Calibri" w:hAnsi="Calibri" w:cs="Calibri"/>
        </w:rPr>
      </w:pPr>
      <w:r>
        <w:lastRenderedPageBreak/>
        <w:t>ANNEXE 3</w:t>
      </w:r>
      <w:r w:rsidR="6DE6DC03">
        <w:t xml:space="preserve">: </w:t>
      </w:r>
      <w:r w:rsidR="00E72FE3" w:rsidRPr="000D4569">
        <w:rPr>
          <w:rFonts w:ascii="Calibri" w:eastAsia="Calibri" w:hAnsi="Calibri" w:cs="Calibri"/>
        </w:rPr>
        <w:t>Value-Based Contracting Readiness Checklist (Suggestion example)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A0" w:firstRow="1" w:lastRow="0" w:firstColumn="1" w:lastColumn="0" w:noHBand="1" w:noVBand="1"/>
      </w:tblPr>
      <w:tblGrid>
        <w:gridCol w:w="2851"/>
        <w:gridCol w:w="7052"/>
      </w:tblGrid>
      <w:tr w:rsidR="00E72FE3" w14:paraId="0EF1CDFA" w14:textId="77777777" w:rsidTr="000D4569">
        <w:trPr>
          <w:trHeight w:val="300"/>
        </w:trPr>
        <w:tc>
          <w:tcPr>
            <w:tcW w:w="2854" w:type="dxa"/>
            <w:vAlign w:val="center"/>
          </w:tcPr>
          <w:p w14:paraId="2D4449C0" w14:textId="77777777" w:rsidR="00E72FE3" w:rsidRPr="000D4569" w:rsidRDefault="00E72FE3">
            <w:pPr>
              <w:rPr>
                <w:rFonts w:ascii="Calibri" w:eastAsia="Calibri" w:hAnsi="Calibri" w:cs="Calibri"/>
                <w:b/>
                <w:bCs/>
              </w:rPr>
            </w:pPr>
            <w:r w:rsidRPr="000D4569">
              <w:rPr>
                <w:rFonts w:ascii="Calibri" w:eastAsia="Calibri" w:hAnsi="Calibri" w:cs="Calibri"/>
                <w:b/>
                <w:bCs/>
              </w:rPr>
              <w:t>Area</w:t>
            </w:r>
          </w:p>
        </w:tc>
        <w:tc>
          <w:tcPr>
            <w:tcW w:w="7065" w:type="dxa"/>
            <w:vAlign w:val="center"/>
          </w:tcPr>
          <w:p w14:paraId="2FCE0DBD" w14:textId="77777777" w:rsidR="00E72FE3" w:rsidRPr="000D4569" w:rsidRDefault="00E72FE3">
            <w:pPr>
              <w:rPr>
                <w:rFonts w:ascii="Calibri" w:eastAsia="Calibri" w:hAnsi="Calibri" w:cs="Calibri"/>
                <w:b/>
                <w:bCs/>
              </w:rPr>
            </w:pPr>
            <w:r w:rsidRPr="000D4569">
              <w:rPr>
                <w:rFonts w:ascii="Calibri" w:eastAsia="Calibri" w:hAnsi="Calibri" w:cs="Calibri"/>
                <w:b/>
                <w:bCs/>
              </w:rPr>
              <w:t>Check</w:t>
            </w:r>
          </w:p>
        </w:tc>
      </w:tr>
      <w:tr w:rsidR="00E72FE3" w14:paraId="39185782" w14:textId="77777777" w:rsidTr="000D4569">
        <w:trPr>
          <w:trHeight w:val="300"/>
        </w:trPr>
        <w:tc>
          <w:tcPr>
            <w:tcW w:w="2854" w:type="dxa"/>
            <w:vAlign w:val="center"/>
          </w:tcPr>
          <w:p w14:paraId="6D7799C7" w14:textId="77777777" w:rsidR="00E72FE3" w:rsidRPr="000D4569" w:rsidRDefault="00E72FE3">
            <w:pPr>
              <w:rPr>
                <w:rFonts w:ascii="Calibri" w:eastAsia="Calibri" w:hAnsi="Calibri" w:cs="Calibri"/>
                <w:b/>
                <w:bCs/>
              </w:rPr>
            </w:pPr>
            <w:r w:rsidRPr="000D4569">
              <w:rPr>
                <w:rFonts w:ascii="Calibri" w:eastAsia="Calibri" w:hAnsi="Calibri" w:cs="Calibri"/>
                <w:b/>
                <w:bCs/>
              </w:rPr>
              <w:t>Governance</w:t>
            </w:r>
          </w:p>
        </w:tc>
        <w:tc>
          <w:tcPr>
            <w:tcW w:w="7065" w:type="dxa"/>
            <w:vAlign w:val="center"/>
          </w:tcPr>
          <w:p w14:paraId="20535CB5" w14:textId="77777777" w:rsidR="00E72FE3" w:rsidRPr="000D4569" w:rsidRDefault="00E72FE3">
            <w:pPr>
              <w:rPr>
                <w:rFonts w:ascii="Calibri" w:eastAsia="Calibri" w:hAnsi="Calibri" w:cs="Calibri"/>
              </w:rPr>
            </w:pPr>
            <w:r w:rsidRPr="000D4569">
              <w:rPr>
                <w:rFonts w:ascii="Calibri" w:eastAsia="Calibri" w:hAnsi="Calibri" w:cs="Calibri"/>
              </w:rPr>
              <w:t>☐ A responsible person/team for value-based contracts is identified</w:t>
            </w:r>
          </w:p>
        </w:tc>
      </w:tr>
      <w:tr w:rsidR="00E72FE3" w14:paraId="6F041E5D" w14:textId="77777777" w:rsidTr="000D4569">
        <w:trPr>
          <w:trHeight w:val="300"/>
        </w:trPr>
        <w:tc>
          <w:tcPr>
            <w:tcW w:w="2854" w:type="dxa"/>
            <w:vAlign w:val="center"/>
          </w:tcPr>
          <w:p w14:paraId="75E1E233" w14:textId="77777777" w:rsidR="00E72FE3" w:rsidRPr="000D4569" w:rsidRDefault="00E72FE3">
            <w:pPr>
              <w:rPr>
                <w:rFonts w:ascii="Calibri" w:eastAsia="Calibri" w:hAnsi="Calibri" w:cs="Calibri"/>
                <w:b/>
                <w:bCs/>
              </w:rPr>
            </w:pPr>
            <w:r w:rsidRPr="000D4569">
              <w:rPr>
                <w:rFonts w:ascii="Calibri" w:eastAsia="Calibri" w:hAnsi="Calibri" w:cs="Calibri"/>
                <w:b/>
                <w:bCs/>
              </w:rPr>
              <w:t>Data</w:t>
            </w:r>
          </w:p>
        </w:tc>
        <w:tc>
          <w:tcPr>
            <w:tcW w:w="7065" w:type="dxa"/>
            <w:vAlign w:val="center"/>
          </w:tcPr>
          <w:p w14:paraId="75AFC5C5" w14:textId="77777777" w:rsidR="00E72FE3" w:rsidRDefault="00E72FE3">
            <w:pPr>
              <w:rPr>
                <w:rFonts w:ascii="Calibri" w:eastAsia="Calibri" w:hAnsi="Calibri" w:cs="Calibri"/>
              </w:rPr>
            </w:pPr>
            <w:r w:rsidRPr="000D4569">
              <w:rPr>
                <w:rFonts w:ascii="Calibri" w:eastAsia="Calibri" w:hAnsi="Calibri" w:cs="Calibri"/>
              </w:rPr>
              <w:t>☐ Ability to collect and report the required outcomes</w:t>
            </w:r>
          </w:p>
          <w:p w14:paraId="73431185" w14:textId="77777777" w:rsidR="00E72FE3" w:rsidRPr="000D4569" w:rsidRDefault="00E72FE3">
            <w:pPr>
              <w:rPr>
                <w:rFonts w:ascii="Calibri" w:eastAsia="Calibri" w:hAnsi="Calibri" w:cs="Calibri"/>
              </w:rPr>
            </w:pPr>
            <w:r>
              <w:rPr>
                <w:rFonts w:ascii="Calibri" w:eastAsia="Calibri" w:hAnsi="Calibri" w:cs="Calibri"/>
              </w:rPr>
              <w:t>PROMs Data are collected for the condition to be contracted over.</w:t>
            </w:r>
          </w:p>
        </w:tc>
      </w:tr>
      <w:tr w:rsidR="00E72FE3" w14:paraId="0CFDDEAB" w14:textId="77777777" w:rsidTr="000D4569">
        <w:trPr>
          <w:trHeight w:val="300"/>
        </w:trPr>
        <w:tc>
          <w:tcPr>
            <w:tcW w:w="2854" w:type="dxa"/>
            <w:vAlign w:val="center"/>
          </w:tcPr>
          <w:p w14:paraId="0C0DCA27" w14:textId="77777777" w:rsidR="00E72FE3" w:rsidRPr="000D4569" w:rsidRDefault="00E72FE3">
            <w:pPr>
              <w:rPr>
                <w:rFonts w:ascii="Calibri" w:eastAsia="Calibri" w:hAnsi="Calibri" w:cs="Calibri"/>
                <w:b/>
                <w:bCs/>
              </w:rPr>
            </w:pPr>
            <w:r w:rsidRPr="000D4569">
              <w:rPr>
                <w:rFonts w:ascii="Calibri" w:eastAsia="Calibri" w:hAnsi="Calibri" w:cs="Calibri"/>
                <w:b/>
                <w:bCs/>
              </w:rPr>
              <w:t>Baseline</w:t>
            </w:r>
          </w:p>
        </w:tc>
        <w:tc>
          <w:tcPr>
            <w:tcW w:w="7065" w:type="dxa"/>
            <w:vAlign w:val="center"/>
          </w:tcPr>
          <w:p w14:paraId="0810F118" w14:textId="77777777" w:rsidR="00E72FE3" w:rsidRPr="000D4569" w:rsidRDefault="00E72FE3">
            <w:pPr>
              <w:rPr>
                <w:rFonts w:ascii="Calibri" w:eastAsia="Calibri" w:hAnsi="Calibri" w:cs="Calibri"/>
              </w:rPr>
            </w:pPr>
            <w:r w:rsidRPr="000D4569">
              <w:rPr>
                <w:rFonts w:ascii="Calibri" w:eastAsia="Calibri" w:hAnsi="Calibri" w:cs="Calibri"/>
              </w:rPr>
              <w:t>☐ Current performance baseline is available</w:t>
            </w:r>
          </w:p>
        </w:tc>
      </w:tr>
      <w:tr w:rsidR="00E72FE3" w14:paraId="35CA6862" w14:textId="77777777" w:rsidTr="000D4569">
        <w:trPr>
          <w:trHeight w:val="300"/>
        </w:trPr>
        <w:tc>
          <w:tcPr>
            <w:tcW w:w="2854" w:type="dxa"/>
            <w:vAlign w:val="center"/>
          </w:tcPr>
          <w:p w14:paraId="0253FB66" w14:textId="77777777" w:rsidR="00E72FE3" w:rsidRPr="000D4569" w:rsidRDefault="00E72FE3">
            <w:pPr>
              <w:rPr>
                <w:rFonts w:ascii="Calibri" w:eastAsia="Calibri" w:hAnsi="Calibri" w:cs="Calibri"/>
                <w:b/>
                <w:bCs/>
              </w:rPr>
            </w:pPr>
            <w:r w:rsidRPr="000D4569">
              <w:rPr>
                <w:rFonts w:ascii="Calibri" w:eastAsia="Calibri" w:hAnsi="Calibri" w:cs="Calibri"/>
                <w:b/>
                <w:bCs/>
              </w:rPr>
              <w:t>Monitoring</w:t>
            </w:r>
          </w:p>
        </w:tc>
        <w:tc>
          <w:tcPr>
            <w:tcW w:w="7065" w:type="dxa"/>
            <w:vAlign w:val="center"/>
          </w:tcPr>
          <w:p w14:paraId="6AE03126" w14:textId="77777777" w:rsidR="00E72FE3" w:rsidRPr="000D4569" w:rsidRDefault="00E72FE3">
            <w:pPr>
              <w:rPr>
                <w:rFonts w:ascii="Calibri" w:eastAsia="Calibri" w:hAnsi="Calibri" w:cs="Calibri"/>
              </w:rPr>
            </w:pPr>
            <w:r w:rsidRPr="000D4569">
              <w:rPr>
                <w:rFonts w:ascii="Calibri" w:eastAsia="Calibri" w:hAnsi="Calibri" w:cs="Calibri"/>
              </w:rPr>
              <w:t>☐ Performance can be reviewed regularly</w:t>
            </w:r>
          </w:p>
        </w:tc>
      </w:tr>
      <w:tr w:rsidR="00E72FE3" w14:paraId="376BA5D7" w14:textId="77777777" w:rsidTr="000D4569">
        <w:trPr>
          <w:trHeight w:val="300"/>
        </w:trPr>
        <w:tc>
          <w:tcPr>
            <w:tcW w:w="2854" w:type="dxa"/>
            <w:vAlign w:val="center"/>
          </w:tcPr>
          <w:p w14:paraId="31133F76" w14:textId="77777777" w:rsidR="00E72FE3" w:rsidRPr="000D4569" w:rsidRDefault="00E72FE3">
            <w:pPr>
              <w:rPr>
                <w:rFonts w:ascii="Calibri" w:eastAsia="Calibri" w:hAnsi="Calibri" w:cs="Calibri"/>
                <w:b/>
                <w:bCs/>
              </w:rPr>
            </w:pPr>
            <w:r w:rsidRPr="000D4569">
              <w:rPr>
                <w:rFonts w:ascii="Calibri" w:eastAsia="Calibri" w:hAnsi="Calibri" w:cs="Calibri"/>
                <w:b/>
                <w:bCs/>
              </w:rPr>
              <w:t>Operations</w:t>
            </w:r>
          </w:p>
        </w:tc>
        <w:tc>
          <w:tcPr>
            <w:tcW w:w="7065" w:type="dxa"/>
            <w:vAlign w:val="center"/>
          </w:tcPr>
          <w:p w14:paraId="4A764CC3" w14:textId="77777777" w:rsidR="00E72FE3" w:rsidRPr="000D4569" w:rsidRDefault="00E72FE3">
            <w:pPr>
              <w:rPr>
                <w:rFonts w:ascii="Calibri" w:eastAsia="Calibri" w:hAnsi="Calibri" w:cs="Calibri"/>
              </w:rPr>
            </w:pPr>
            <w:r w:rsidRPr="000D4569">
              <w:rPr>
                <w:rFonts w:ascii="Calibri" w:eastAsia="Calibri" w:hAnsi="Calibri" w:cs="Calibri"/>
              </w:rPr>
              <w:t>☐ Care processes related to the contract are in place</w:t>
            </w:r>
          </w:p>
        </w:tc>
      </w:tr>
      <w:tr w:rsidR="00E72FE3" w14:paraId="27FC9D13" w14:textId="77777777" w:rsidTr="000D4569">
        <w:trPr>
          <w:trHeight w:val="300"/>
        </w:trPr>
        <w:tc>
          <w:tcPr>
            <w:tcW w:w="2854" w:type="dxa"/>
            <w:vAlign w:val="center"/>
          </w:tcPr>
          <w:p w14:paraId="37C5EA25" w14:textId="77777777" w:rsidR="00E72FE3" w:rsidRPr="000D4569" w:rsidRDefault="00E72FE3">
            <w:pPr>
              <w:rPr>
                <w:rFonts w:ascii="Calibri" w:eastAsia="Calibri" w:hAnsi="Calibri" w:cs="Calibri"/>
                <w:b/>
                <w:bCs/>
              </w:rPr>
            </w:pPr>
            <w:r w:rsidRPr="000D4569">
              <w:rPr>
                <w:rFonts w:ascii="Calibri" w:eastAsia="Calibri" w:hAnsi="Calibri" w:cs="Calibri"/>
                <w:b/>
                <w:bCs/>
              </w:rPr>
              <w:t>Financial Understanding</w:t>
            </w:r>
          </w:p>
        </w:tc>
        <w:tc>
          <w:tcPr>
            <w:tcW w:w="7065" w:type="dxa"/>
            <w:vAlign w:val="center"/>
          </w:tcPr>
          <w:p w14:paraId="3EB45A65" w14:textId="77777777" w:rsidR="00E72FE3" w:rsidRPr="000D4569" w:rsidRDefault="00E72FE3">
            <w:pPr>
              <w:rPr>
                <w:rFonts w:ascii="Calibri" w:eastAsia="Calibri" w:hAnsi="Calibri" w:cs="Calibri"/>
              </w:rPr>
            </w:pPr>
            <w:r w:rsidRPr="000D4569">
              <w:rPr>
                <w:rFonts w:ascii="Calibri" w:eastAsia="Calibri" w:hAnsi="Calibri" w:cs="Calibri"/>
              </w:rPr>
              <w:t>☐ Basic understanding of incentives and financial risk</w:t>
            </w:r>
          </w:p>
        </w:tc>
      </w:tr>
      <w:tr w:rsidR="00E72FE3" w14:paraId="4019E503" w14:textId="77777777" w:rsidTr="000D4569">
        <w:trPr>
          <w:trHeight w:val="300"/>
        </w:trPr>
        <w:tc>
          <w:tcPr>
            <w:tcW w:w="2854" w:type="dxa"/>
            <w:vAlign w:val="center"/>
          </w:tcPr>
          <w:p w14:paraId="2122A737" w14:textId="77777777" w:rsidR="00E72FE3" w:rsidRPr="000D4569" w:rsidRDefault="00E72FE3">
            <w:pPr>
              <w:rPr>
                <w:rFonts w:ascii="Calibri" w:eastAsia="Calibri" w:hAnsi="Calibri" w:cs="Calibri"/>
                <w:b/>
                <w:bCs/>
              </w:rPr>
            </w:pPr>
            <w:r w:rsidRPr="000D4569">
              <w:rPr>
                <w:rFonts w:ascii="Calibri" w:eastAsia="Calibri" w:hAnsi="Calibri" w:cs="Calibri"/>
                <w:b/>
                <w:bCs/>
              </w:rPr>
              <w:t>Contracting</w:t>
            </w:r>
          </w:p>
        </w:tc>
        <w:tc>
          <w:tcPr>
            <w:tcW w:w="7065" w:type="dxa"/>
            <w:vAlign w:val="center"/>
          </w:tcPr>
          <w:p w14:paraId="49759D21" w14:textId="77777777" w:rsidR="00E72FE3" w:rsidRPr="000D4569" w:rsidRDefault="00E72FE3">
            <w:pPr>
              <w:rPr>
                <w:rFonts w:ascii="Calibri" w:eastAsia="Calibri" w:hAnsi="Calibri" w:cs="Calibri"/>
              </w:rPr>
            </w:pPr>
            <w:r w:rsidRPr="000D4569">
              <w:rPr>
                <w:rFonts w:ascii="Calibri" w:eastAsia="Calibri" w:hAnsi="Calibri" w:cs="Calibri"/>
              </w:rPr>
              <w:t>☐ Access to legal or contracting support</w:t>
            </w:r>
          </w:p>
        </w:tc>
      </w:tr>
    </w:tbl>
    <w:p w14:paraId="3E4CA7EA" w14:textId="4FCEDCAF" w:rsidR="0009721B" w:rsidRPr="00E43E9B" w:rsidRDefault="0009721B" w:rsidP="0009721B">
      <w:pPr>
        <w:pStyle w:val="EndNoteBibliography"/>
        <w:spacing w:after="0"/>
        <w:rPr>
          <w:rFonts w:ascii="Calibri" w:hAnsi="Calibri" w:cs="Calibri"/>
          <w:noProof/>
        </w:rPr>
      </w:pPr>
      <w:r w:rsidRPr="00E43E9B">
        <w:rPr>
          <w:rFonts w:ascii="Calibri" w:hAnsi="Calibri" w:cs="Calibri"/>
        </w:rPr>
        <w:fldChar w:fldCharType="begin"/>
      </w:r>
      <w:r w:rsidRPr="00E43E9B">
        <w:rPr>
          <w:rFonts w:ascii="Calibri" w:hAnsi="Calibri" w:cs="Calibri"/>
        </w:rPr>
        <w:instrText xml:space="preserve"> ADDIN EN.REFLIST </w:instrText>
      </w:r>
      <w:r w:rsidRPr="00E43E9B">
        <w:rPr>
          <w:rFonts w:ascii="Calibri" w:hAnsi="Calibri" w:cs="Calibri"/>
        </w:rPr>
        <w:fldChar w:fldCharType="separate"/>
      </w:r>
    </w:p>
    <w:p w14:paraId="19125694" w14:textId="78B9BD12" w:rsidR="3259D984" w:rsidRDefault="3259D984" w:rsidP="3259D984">
      <w:pPr>
        <w:pStyle w:val="EndNoteBibliography"/>
        <w:rPr>
          <w:rFonts w:ascii="Calibri" w:hAnsi="Calibri" w:cs="Calibri"/>
          <w:noProof/>
        </w:rPr>
      </w:pPr>
    </w:p>
    <w:p w14:paraId="39D4DA7D" w14:textId="1DD29EC4" w:rsidR="00FC1023" w:rsidRDefault="0009721B" w:rsidP="0009721B">
      <w:pPr>
        <w:spacing w:after="0" w:line="240" w:lineRule="auto"/>
        <w:rPr>
          <w:rFonts w:ascii="Calibri" w:hAnsi="Calibri" w:cs="Calibri"/>
        </w:rPr>
      </w:pPr>
      <w:r w:rsidRPr="00E43E9B">
        <w:rPr>
          <w:rFonts w:ascii="Calibri" w:hAnsi="Calibri" w:cs="Calibri"/>
        </w:rPr>
        <w:fldChar w:fldCharType="end"/>
      </w:r>
    </w:p>
    <w:p w14:paraId="10709E1C" w14:textId="77777777" w:rsidR="001D38DC" w:rsidRDefault="001D38DC" w:rsidP="0009721B">
      <w:pPr>
        <w:spacing w:after="0" w:line="240" w:lineRule="auto"/>
        <w:rPr>
          <w:rFonts w:ascii="Calibri" w:hAnsi="Calibri" w:cs="Calibri"/>
        </w:rPr>
      </w:pPr>
    </w:p>
    <w:p w14:paraId="629DD95D" w14:textId="77777777" w:rsidR="001D38DC" w:rsidRDefault="001D38DC" w:rsidP="0009721B">
      <w:pPr>
        <w:spacing w:after="0" w:line="240" w:lineRule="auto"/>
        <w:rPr>
          <w:rFonts w:ascii="Calibri" w:hAnsi="Calibri" w:cs="Calibri"/>
        </w:rPr>
      </w:pPr>
    </w:p>
    <w:p w14:paraId="4F60C930" w14:textId="77777777" w:rsidR="001D38DC" w:rsidRDefault="001D38DC" w:rsidP="0009721B">
      <w:pPr>
        <w:spacing w:after="0" w:line="240" w:lineRule="auto"/>
        <w:rPr>
          <w:rFonts w:ascii="Calibri" w:hAnsi="Calibri" w:cs="Calibri"/>
        </w:rPr>
      </w:pPr>
    </w:p>
    <w:p w14:paraId="2ADFB465" w14:textId="77777777" w:rsidR="001D38DC" w:rsidRPr="00E43E9B" w:rsidRDefault="001D38DC" w:rsidP="0009721B">
      <w:pPr>
        <w:spacing w:after="0" w:line="240" w:lineRule="auto"/>
        <w:rPr>
          <w:rFonts w:ascii="Calibri" w:hAnsi="Calibri" w:cs="Calibri"/>
        </w:rPr>
      </w:pPr>
    </w:p>
    <w:sectPr w:rsidR="001D38DC" w:rsidRPr="00E43E9B" w:rsidSect="00E43E9B">
      <w:headerReference w:type="even" r:id="rId22"/>
      <w:headerReference w:type="default" r:id="rId23"/>
      <w:footerReference w:type="even" r:id="rId24"/>
      <w:footerReference w:type="default" r:id="rId25"/>
      <w:headerReference w:type="first" r:id="rId26"/>
      <w:footerReference w:type="first" r:id="rId27"/>
      <w:pgSz w:w="12240" w:h="15840"/>
      <w:pgMar w:top="1440" w:right="1161" w:bottom="1440" w:left="1156"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alkhashan.n" w:date="2026-01-14T08:54:00Z" w:initials="al">
    <w:p w14:paraId="4460B8AD" w14:textId="0D90EA79" w:rsidR="00105DED" w:rsidRDefault="00105DED">
      <w:pPr>
        <w:pStyle w:val="CommentText"/>
      </w:pPr>
      <w:r>
        <w:rPr>
          <w:rStyle w:val="CommentReference"/>
        </w:rPr>
        <w:annotationRef/>
      </w:r>
      <w:r w:rsidRPr="03369EAD">
        <w:t>this another view of the table above, we are still considering the look and feel.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60B8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2D66DB" w16cex:dateUtc="2026-01-14T0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0B8AD" w16cid:durableId="112D66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72FCF" w14:textId="77777777" w:rsidR="00845E19" w:rsidRDefault="00845E19" w:rsidP="002C2A53">
      <w:pPr>
        <w:spacing w:after="0" w:line="240" w:lineRule="auto"/>
      </w:pPr>
      <w:r>
        <w:separator/>
      </w:r>
    </w:p>
  </w:endnote>
  <w:endnote w:type="continuationSeparator" w:id="0">
    <w:p w14:paraId="4053A51E" w14:textId="77777777" w:rsidR="00845E19" w:rsidRDefault="00845E19" w:rsidP="002C2A53">
      <w:pPr>
        <w:spacing w:after="0" w:line="240" w:lineRule="auto"/>
      </w:pPr>
      <w:r>
        <w:continuationSeparator/>
      </w:r>
    </w:p>
  </w:endnote>
  <w:endnote w:type="continuationNotice" w:id="1">
    <w:p w14:paraId="60E6EAA0" w14:textId="77777777" w:rsidR="00845E19" w:rsidRDefault="00845E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6926" w14:textId="4DE1B460" w:rsidR="002C2A53" w:rsidRDefault="002C2A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33348" w14:textId="58541ECC" w:rsidR="002C2A53" w:rsidRDefault="001E7C3C">
    <w:pPr>
      <w:pStyle w:val="Footer"/>
    </w:pPr>
    <w:r>
      <w:rPr>
        <w:noProof/>
      </w:rPr>
      <mc:AlternateContent>
        <mc:Choice Requires="wps">
          <w:drawing>
            <wp:anchor distT="0" distB="0" distL="114300" distR="114300" simplePos="0" relativeHeight="251658240" behindDoc="0" locked="0" layoutInCell="1" allowOverlap="1" wp14:anchorId="2E2E5133" wp14:editId="194DB7FD">
              <wp:simplePos x="0" y="0"/>
              <wp:positionH relativeFrom="page">
                <wp:align>center</wp:align>
              </wp:positionH>
              <wp:positionV relativeFrom="page">
                <wp:align>bottom</wp:align>
              </wp:positionV>
              <wp:extent cx="2540000" cy="317500"/>
              <wp:effectExtent l="0" t="0" r="0" b="1905"/>
              <wp:wrapNone/>
              <wp:docPr id="1813741156" name="GVFooter_Section1_11732086804"/>
              <wp:cNvGraphicFramePr/>
              <a:graphic xmlns:a="http://schemas.openxmlformats.org/drawingml/2006/main">
                <a:graphicData uri="http://schemas.microsoft.com/office/word/2010/wordprocessingShape">
                  <wps:wsp>
                    <wps:cNvSpPr txBox="1"/>
                    <wps:spPr>
                      <a:xfrm>
                        <a:off x="0" y="0"/>
                        <a:ext cx="254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4B59165" w14:textId="510526B2" w:rsidR="001E7C3C" w:rsidRDefault="001E7C3C" w:rsidP="001E7C3C">
                          <w:pPr>
                            <w:jc w:val="center"/>
                          </w:pPr>
                          <w:r w:rsidRPr="001E7C3C">
                            <w:rPr>
                              <w:rFonts w:ascii="Calibri" w:hAnsi="Calibri" w:cs="Calibri"/>
                              <w:b/>
                              <w:bCs/>
                              <w:color w:val="FFBF00"/>
                              <w:sz w:val="20"/>
                              <w:szCs w:val="20"/>
                            </w:rPr>
                            <w:t xml:space="preserve">Classified as </w:t>
                          </w:r>
                          <w:r w:rsidRPr="001E7C3C">
                            <w:rPr>
                              <w:rFonts w:ascii="Calibri" w:hAnsi="Calibri" w:cs="Calibri" w:hint="cs"/>
                              <w:b/>
                              <w:bCs/>
                              <w:color w:val="FFBF00"/>
                              <w:sz w:val="20"/>
                              <w:szCs w:val="20"/>
                              <w:rtl/>
                            </w:rPr>
                            <w:t>مقيد</w:t>
                          </w:r>
                          <w:r w:rsidRPr="001E7C3C">
                            <w:rPr>
                              <w:rFonts w:ascii="Calibri" w:hAnsi="Calibri" w:cs="Calibri"/>
                              <w:b/>
                              <w:bCs/>
                              <w:color w:val="FFBF00"/>
                              <w:sz w:val="20"/>
                              <w:szCs w:val="20"/>
                            </w:rPr>
                            <w:t>/ Restricted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E2E5133" id="_x0000_t202" coordsize="21600,21600" o:spt="202" path="m,l,21600r21600,l21600,xe">
              <v:stroke joinstyle="miter"/>
              <v:path gradientshapeok="t" o:connecttype="rect"/>
            </v:shapetype>
            <v:shape id="GVFooter_Section1_11732086804" o:spid="_x0000_s1027" type="#_x0000_t202" style="position:absolute;margin-left:0;margin-top:0;width:200pt;height:25pt;z-index:251658240;visibility:visible;mso-wrap-style:square;mso-wrap-distance-left:9pt;mso-wrap-distance-top:0;mso-wrap-distance-right:9pt;mso-wrap-distance-bottom:0;mso-position-horizontal:center;mso-position-horizontal-relative:page;mso-position-vertical:bottom;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" filled="f" stroked="f" strokeweight=".5pt">
              <v:textbox style="mso-fit-shape-to-text:t">
                <w:txbxContent>
                  <w:p w14:paraId="34B59165" w14:textId="510526B2" w:rsidR="001E7C3C" w:rsidRDefault="001E7C3C" w:rsidP="001E7C3C">
                    <w:pPr>
                      <w:jc w:val="center"/>
                    </w:pPr>
                    <w:r w:rsidRPr="001E7C3C">
                      <w:rPr>
                        <w:rFonts w:ascii="Calibri" w:hAnsi="Calibri" w:cs="Calibri"/>
                        <w:b/>
                        <w:bCs/>
                        <w:color w:val="FFBF00"/>
                        <w:sz w:val="20"/>
                        <w:szCs w:val="20"/>
                      </w:rPr>
                      <w:t xml:space="preserve">Classified as </w:t>
                    </w:r>
                    <w:r w:rsidRPr="001E7C3C">
                      <w:rPr>
                        <w:rFonts w:ascii="Calibri" w:hAnsi="Calibri" w:cs="Calibri" w:hint="cs"/>
                        <w:b/>
                        <w:bCs/>
                        <w:color w:val="FFBF00"/>
                        <w:sz w:val="20"/>
                        <w:szCs w:val="20"/>
                        <w:rtl/>
                      </w:rPr>
                      <w:t>مقيد</w:t>
                    </w:r>
                    <w:r w:rsidRPr="001E7C3C">
                      <w:rPr>
                        <w:rFonts w:ascii="Calibri" w:hAnsi="Calibri" w:cs="Calibri"/>
                        <w:b/>
                        <w:bCs/>
                        <w:color w:val="FFBF00"/>
                        <w:sz w:val="20"/>
                        <w:szCs w:val="20"/>
                      </w:rPr>
                      <w:t>/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6E3C" w14:textId="145CCF27" w:rsidR="002C2A53" w:rsidRDefault="002C2A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16244" w14:textId="77777777" w:rsidR="00845E19" w:rsidRDefault="00845E19" w:rsidP="002C2A53">
      <w:pPr>
        <w:spacing w:after="0" w:line="240" w:lineRule="auto"/>
      </w:pPr>
      <w:r>
        <w:separator/>
      </w:r>
    </w:p>
  </w:footnote>
  <w:footnote w:type="continuationSeparator" w:id="0">
    <w:p w14:paraId="7E074BEC" w14:textId="77777777" w:rsidR="00845E19" w:rsidRDefault="00845E19" w:rsidP="002C2A53">
      <w:pPr>
        <w:spacing w:after="0" w:line="240" w:lineRule="auto"/>
      </w:pPr>
      <w:r>
        <w:continuationSeparator/>
      </w:r>
    </w:p>
  </w:footnote>
  <w:footnote w:type="continuationNotice" w:id="1">
    <w:p w14:paraId="74A69523" w14:textId="77777777" w:rsidR="00845E19" w:rsidRDefault="00845E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E469E" w14:textId="77777777" w:rsidR="002C2A53" w:rsidRDefault="002C2A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137594"/>
      <w:docPartObj>
        <w:docPartGallery w:val="Watermarks"/>
        <w:docPartUnique/>
      </w:docPartObj>
    </w:sdtPr>
    <w:sdtContent>
      <w:p w14:paraId="5DFF7853" w14:textId="06D535B0" w:rsidR="002C2A53" w:rsidRDefault="007614DF">
        <w:pPr>
          <w:pStyle w:val="Header"/>
        </w:pPr>
        <w:r>
          <w:rPr>
            <w:noProof/>
          </w:rPr>
          <w:pict w14:anchorId="61B7C1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73064486" o:spid="_x0000_s2049" type="#_x0000_t136" style="position:absolute;margin-left:0;margin-top:0;width:594.55pt;height:104.9pt;rotation:315;z-index:-251658239;mso-position-horizontal:center;mso-position-horizontal-relative:margin;mso-position-vertical:center;mso-position-vertical-relative:margin" o:allowincell="f" fillcolor="silver" stroked="f">
              <v:fill opacity=".5"/>
              <v:textpath style="font-family:&quot;Calibri&quot;;font-size:1pt" string="CONFIDENTIAL 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F69E9" w14:textId="66D1A967" w:rsidR="002C2A53" w:rsidRDefault="002C2A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1F10"/>
    <w:multiLevelType w:val="hybridMultilevel"/>
    <w:tmpl w:val="A036AB40"/>
    <w:lvl w:ilvl="0" w:tplc="42CAB704">
      <w:start w:val="1"/>
      <w:numFmt w:val="bullet"/>
      <w:lvlText w:val=""/>
      <w:lvlJc w:val="left"/>
      <w:pPr>
        <w:ind w:left="720" w:hanging="360"/>
      </w:pPr>
      <w:rPr>
        <w:rFonts w:ascii="Symbol" w:hAnsi="Symbol" w:hint="default"/>
      </w:rPr>
    </w:lvl>
    <w:lvl w:ilvl="1" w:tplc="95765E80">
      <w:start w:val="1"/>
      <w:numFmt w:val="bullet"/>
      <w:lvlText w:val="o"/>
      <w:lvlJc w:val="left"/>
      <w:pPr>
        <w:ind w:left="1440" w:hanging="360"/>
      </w:pPr>
      <w:rPr>
        <w:rFonts w:ascii="Courier New" w:hAnsi="Courier New" w:hint="default"/>
      </w:rPr>
    </w:lvl>
    <w:lvl w:ilvl="2" w:tplc="C64CCDFA">
      <w:start w:val="1"/>
      <w:numFmt w:val="bullet"/>
      <w:lvlText w:val=""/>
      <w:lvlJc w:val="left"/>
      <w:pPr>
        <w:ind w:left="2160" w:hanging="360"/>
      </w:pPr>
      <w:rPr>
        <w:rFonts w:ascii="Wingdings" w:hAnsi="Wingdings" w:hint="default"/>
      </w:rPr>
    </w:lvl>
    <w:lvl w:ilvl="3" w:tplc="954E4AF8">
      <w:start w:val="1"/>
      <w:numFmt w:val="bullet"/>
      <w:lvlText w:val=""/>
      <w:lvlJc w:val="left"/>
      <w:pPr>
        <w:ind w:left="2880" w:hanging="360"/>
      </w:pPr>
      <w:rPr>
        <w:rFonts w:ascii="Symbol" w:hAnsi="Symbol" w:hint="default"/>
      </w:rPr>
    </w:lvl>
    <w:lvl w:ilvl="4" w:tplc="94ECC130">
      <w:start w:val="1"/>
      <w:numFmt w:val="bullet"/>
      <w:lvlText w:val="o"/>
      <w:lvlJc w:val="left"/>
      <w:pPr>
        <w:ind w:left="3600" w:hanging="360"/>
      </w:pPr>
      <w:rPr>
        <w:rFonts w:ascii="Courier New" w:hAnsi="Courier New" w:hint="default"/>
      </w:rPr>
    </w:lvl>
    <w:lvl w:ilvl="5" w:tplc="CBC494A4">
      <w:start w:val="1"/>
      <w:numFmt w:val="bullet"/>
      <w:lvlText w:val=""/>
      <w:lvlJc w:val="left"/>
      <w:pPr>
        <w:ind w:left="4320" w:hanging="360"/>
      </w:pPr>
      <w:rPr>
        <w:rFonts w:ascii="Wingdings" w:hAnsi="Wingdings" w:hint="default"/>
      </w:rPr>
    </w:lvl>
    <w:lvl w:ilvl="6" w:tplc="EED0494E">
      <w:start w:val="1"/>
      <w:numFmt w:val="bullet"/>
      <w:lvlText w:val=""/>
      <w:lvlJc w:val="left"/>
      <w:pPr>
        <w:ind w:left="5040" w:hanging="360"/>
      </w:pPr>
      <w:rPr>
        <w:rFonts w:ascii="Symbol" w:hAnsi="Symbol" w:hint="default"/>
      </w:rPr>
    </w:lvl>
    <w:lvl w:ilvl="7" w:tplc="924E2CB4">
      <w:start w:val="1"/>
      <w:numFmt w:val="bullet"/>
      <w:lvlText w:val="o"/>
      <w:lvlJc w:val="left"/>
      <w:pPr>
        <w:ind w:left="5760" w:hanging="360"/>
      </w:pPr>
      <w:rPr>
        <w:rFonts w:ascii="Courier New" w:hAnsi="Courier New" w:hint="default"/>
      </w:rPr>
    </w:lvl>
    <w:lvl w:ilvl="8" w:tplc="72DE2274">
      <w:start w:val="1"/>
      <w:numFmt w:val="bullet"/>
      <w:lvlText w:val=""/>
      <w:lvlJc w:val="left"/>
      <w:pPr>
        <w:ind w:left="6480" w:hanging="360"/>
      </w:pPr>
      <w:rPr>
        <w:rFonts w:ascii="Wingdings" w:hAnsi="Wingdings" w:hint="default"/>
      </w:rPr>
    </w:lvl>
  </w:abstractNum>
  <w:abstractNum w:abstractNumId="1" w15:restartNumberingAfterBreak="0">
    <w:nsid w:val="0CCC17CA"/>
    <w:multiLevelType w:val="hybridMultilevel"/>
    <w:tmpl w:val="BF94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83EAA"/>
    <w:multiLevelType w:val="hybridMultilevel"/>
    <w:tmpl w:val="85E4F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C56DD0"/>
    <w:multiLevelType w:val="multilevel"/>
    <w:tmpl w:val="2BE2DAB8"/>
    <w:lvl w:ilvl="0">
      <w:start w:val="1"/>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812211"/>
    <w:multiLevelType w:val="hybridMultilevel"/>
    <w:tmpl w:val="43E8A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74B507"/>
    <w:multiLevelType w:val="hybridMultilevel"/>
    <w:tmpl w:val="58BA70F4"/>
    <w:lvl w:ilvl="0" w:tplc="9F7ABDEC">
      <w:start w:val="1"/>
      <w:numFmt w:val="bullet"/>
      <w:lvlText w:val=""/>
      <w:lvlJc w:val="left"/>
      <w:pPr>
        <w:ind w:left="720" w:hanging="360"/>
      </w:pPr>
      <w:rPr>
        <w:rFonts w:ascii="Symbol" w:hAnsi="Symbol" w:hint="default"/>
      </w:rPr>
    </w:lvl>
    <w:lvl w:ilvl="1" w:tplc="ADCCFFFA">
      <w:start w:val="1"/>
      <w:numFmt w:val="bullet"/>
      <w:lvlText w:val="o"/>
      <w:lvlJc w:val="left"/>
      <w:pPr>
        <w:ind w:left="1440" w:hanging="360"/>
      </w:pPr>
      <w:rPr>
        <w:rFonts w:ascii="Courier New" w:hAnsi="Courier New" w:hint="default"/>
      </w:rPr>
    </w:lvl>
    <w:lvl w:ilvl="2" w:tplc="A19A0682">
      <w:start w:val="1"/>
      <w:numFmt w:val="bullet"/>
      <w:lvlText w:val=""/>
      <w:lvlJc w:val="left"/>
      <w:pPr>
        <w:ind w:left="2160" w:hanging="360"/>
      </w:pPr>
      <w:rPr>
        <w:rFonts w:ascii="Wingdings" w:hAnsi="Wingdings" w:hint="default"/>
      </w:rPr>
    </w:lvl>
    <w:lvl w:ilvl="3" w:tplc="FE5A77C0">
      <w:start w:val="1"/>
      <w:numFmt w:val="bullet"/>
      <w:lvlText w:val=""/>
      <w:lvlJc w:val="left"/>
      <w:pPr>
        <w:ind w:left="2880" w:hanging="360"/>
      </w:pPr>
      <w:rPr>
        <w:rFonts w:ascii="Symbol" w:hAnsi="Symbol" w:hint="default"/>
      </w:rPr>
    </w:lvl>
    <w:lvl w:ilvl="4" w:tplc="A66E7492">
      <w:start w:val="1"/>
      <w:numFmt w:val="bullet"/>
      <w:lvlText w:val="o"/>
      <w:lvlJc w:val="left"/>
      <w:pPr>
        <w:ind w:left="3600" w:hanging="360"/>
      </w:pPr>
      <w:rPr>
        <w:rFonts w:ascii="Courier New" w:hAnsi="Courier New" w:hint="default"/>
      </w:rPr>
    </w:lvl>
    <w:lvl w:ilvl="5" w:tplc="A0EC0E5E">
      <w:start w:val="1"/>
      <w:numFmt w:val="bullet"/>
      <w:lvlText w:val=""/>
      <w:lvlJc w:val="left"/>
      <w:pPr>
        <w:ind w:left="4320" w:hanging="360"/>
      </w:pPr>
      <w:rPr>
        <w:rFonts w:ascii="Wingdings" w:hAnsi="Wingdings" w:hint="default"/>
      </w:rPr>
    </w:lvl>
    <w:lvl w:ilvl="6" w:tplc="66CC26E6">
      <w:start w:val="1"/>
      <w:numFmt w:val="bullet"/>
      <w:lvlText w:val=""/>
      <w:lvlJc w:val="left"/>
      <w:pPr>
        <w:ind w:left="5040" w:hanging="360"/>
      </w:pPr>
      <w:rPr>
        <w:rFonts w:ascii="Symbol" w:hAnsi="Symbol" w:hint="default"/>
      </w:rPr>
    </w:lvl>
    <w:lvl w:ilvl="7" w:tplc="B69ACE3E">
      <w:start w:val="1"/>
      <w:numFmt w:val="bullet"/>
      <w:lvlText w:val="o"/>
      <w:lvlJc w:val="left"/>
      <w:pPr>
        <w:ind w:left="5760" w:hanging="360"/>
      </w:pPr>
      <w:rPr>
        <w:rFonts w:ascii="Courier New" w:hAnsi="Courier New" w:hint="default"/>
      </w:rPr>
    </w:lvl>
    <w:lvl w:ilvl="8" w:tplc="9DE85ACE">
      <w:start w:val="1"/>
      <w:numFmt w:val="bullet"/>
      <w:lvlText w:val=""/>
      <w:lvlJc w:val="left"/>
      <w:pPr>
        <w:ind w:left="6480" w:hanging="360"/>
      </w:pPr>
      <w:rPr>
        <w:rFonts w:ascii="Wingdings" w:hAnsi="Wingdings" w:hint="default"/>
      </w:rPr>
    </w:lvl>
  </w:abstractNum>
  <w:abstractNum w:abstractNumId="6" w15:restartNumberingAfterBreak="0">
    <w:nsid w:val="2C544D1D"/>
    <w:multiLevelType w:val="hybridMultilevel"/>
    <w:tmpl w:val="24007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325C11"/>
    <w:multiLevelType w:val="hybridMultilevel"/>
    <w:tmpl w:val="60B2F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4F3AA7"/>
    <w:multiLevelType w:val="hybridMultilevel"/>
    <w:tmpl w:val="9EC20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D5EC16"/>
    <w:multiLevelType w:val="hybridMultilevel"/>
    <w:tmpl w:val="102E03A2"/>
    <w:lvl w:ilvl="0" w:tplc="9EF4A00E">
      <w:start w:val="1"/>
      <w:numFmt w:val="bullet"/>
      <w:lvlText w:val=""/>
      <w:lvlJc w:val="left"/>
      <w:pPr>
        <w:ind w:left="720" w:hanging="360"/>
      </w:pPr>
      <w:rPr>
        <w:rFonts w:ascii="Symbol" w:hAnsi="Symbol" w:hint="default"/>
      </w:rPr>
    </w:lvl>
    <w:lvl w:ilvl="1" w:tplc="E76CD15E">
      <w:start w:val="1"/>
      <w:numFmt w:val="bullet"/>
      <w:lvlText w:val="o"/>
      <w:lvlJc w:val="left"/>
      <w:pPr>
        <w:ind w:left="1440" w:hanging="360"/>
      </w:pPr>
      <w:rPr>
        <w:rFonts w:ascii="Courier New" w:hAnsi="Courier New" w:hint="default"/>
      </w:rPr>
    </w:lvl>
    <w:lvl w:ilvl="2" w:tplc="C0D2D02E">
      <w:start w:val="1"/>
      <w:numFmt w:val="bullet"/>
      <w:lvlText w:val=""/>
      <w:lvlJc w:val="left"/>
      <w:pPr>
        <w:ind w:left="2160" w:hanging="360"/>
      </w:pPr>
      <w:rPr>
        <w:rFonts w:ascii="Wingdings" w:hAnsi="Wingdings" w:hint="default"/>
      </w:rPr>
    </w:lvl>
    <w:lvl w:ilvl="3" w:tplc="F4F020D6">
      <w:start w:val="1"/>
      <w:numFmt w:val="bullet"/>
      <w:lvlText w:val=""/>
      <w:lvlJc w:val="left"/>
      <w:pPr>
        <w:ind w:left="2880" w:hanging="360"/>
      </w:pPr>
      <w:rPr>
        <w:rFonts w:ascii="Symbol" w:hAnsi="Symbol" w:hint="default"/>
      </w:rPr>
    </w:lvl>
    <w:lvl w:ilvl="4" w:tplc="3AAE97F6">
      <w:start w:val="1"/>
      <w:numFmt w:val="bullet"/>
      <w:lvlText w:val="o"/>
      <w:lvlJc w:val="left"/>
      <w:pPr>
        <w:ind w:left="3600" w:hanging="360"/>
      </w:pPr>
      <w:rPr>
        <w:rFonts w:ascii="Courier New" w:hAnsi="Courier New" w:hint="default"/>
      </w:rPr>
    </w:lvl>
    <w:lvl w:ilvl="5" w:tplc="6316AFC6">
      <w:start w:val="1"/>
      <w:numFmt w:val="bullet"/>
      <w:lvlText w:val=""/>
      <w:lvlJc w:val="left"/>
      <w:pPr>
        <w:ind w:left="4320" w:hanging="360"/>
      </w:pPr>
      <w:rPr>
        <w:rFonts w:ascii="Wingdings" w:hAnsi="Wingdings" w:hint="default"/>
      </w:rPr>
    </w:lvl>
    <w:lvl w:ilvl="6" w:tplc="D122BBEC">
      <w:start w:val="1"/>
      <w:numFmt w:val="bullet"/>
      <w:lvlText w:val=""/>
      <w:lvlJc w:val="left"/>
      <w:pPr>
        <w:ind w:left="5040" w:hanging="360"/>
      </w:pPr>
      <w:rPr>
        <w:rFonts w:ascii="Symbol" w:hAnsi="Symbol" w:hint="default"/>
      </w:rPr>
    </w:lvl>
    <w:lvl w:ilvl="7" w:tplc="F3247758">
      <w:start w:val="1"/>
      <w:numFmt w:val="bullet"/>
      <w:lvlText w:val="o"/>
      <w:lvlJc w:val="left"/>
      <w:pPr>
        <w:ind w:left="5760" w:hanging="360"/>
      </w:pPr>
      <w:rPr>
        <w:rFonts w:ascii="Courier New" w:hAnsi="Courier New" w:hint="default"/>
      </w:rPr>
    </w:lvl>
    <w:lvl w:ilvl="8" w:tplc="06B0FF5C">
      <w:start w:val="1"/>
      <w:numFmt w:val="bullet"/>
      <w:lvlText w:val=""/>
      <w:lvlJc w:val="left"/>
      <w:pPr>
        <w:ind w:left="6480" w:hanging="360"/>
      </w:pPr>
      <w:rPr>
        <w:rFonts w:ascii="Wingdings" w:hAnsi="Wingdings" w:hint="default"/>
      </w:rPr>
    </w:lvl>
  </w:abstractNum>
  <w:abstractNum w:abstractNumId="10" w15:restartNumberingAfterBreak="0">
    <w:nsid w:val="402E6C18"/>
    <w:multiLevelType w:val="hybridMultilevel"/>
    <w:tmpl w:val="6BD41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AB0D88"/>
    <w:multiLevelType w:val="hybridMultilevel"/>
    <w:tmpl w:val="44B41672"/>
    <w:lvl w:ilvl="0" w:tplc="923A4A36">
      <w:start w:val="1"/>
      <w:numFmt w:val="bullet"/>
      <w:lvlText w:val=""/>
      <w:lvlJc w:val="left"/>
      <w:pPr>
        <w:ind w:left="720" w:hanging="360"/>
      </w:pPr>
      <w:rPr>
        <w:rFonts w:ascii="Symbol" w:hAnsi="Symbol" w:hint="default"/>
      </w:rPr>
    </w:lvl>
    <w:lvl w:ilvl="1" w:tplc="7E14260E">
      <w:start w:val="1"/>
      <w:numFmt w:val="bullet"/>
      <w:lvlText w:val="o"/>
      <w:lvlJc w:val="left"/>
      <w:pPr>
        <w:ind w:left="1440" w:hanging="360"/>
      </w:pPr>
      <w:rPr>
        <w:rFonts w:ascii="Courier New" w:hAnsi="Courier New" w:hint="default"/>
      </w:rPr>
    </w:lvl>
    <w:lvl w:ilvl="2" w:tplc="63BA4B02">
      <w:start w:val="1"/>
      <w:numFmt w:val="bullet"/>
      <w:lvlText w:val=""/>
      <w:lvlJc w:val="left"/>
      <w:pPr>
        <w:ind w:left="2160" w:hanging="360"/>
      </w:pPr>
      <w:rPr>
        <w:rFonts w:ascii="Wingdings" w:hAnsi="Wingdings" w:hint="default"/>
      </w:rPr>
    </w:lvl>
    <w:lvl w:ilvl="3" w:tplc="0A9EB61E">
      <w:start w:val="1"/>
      <w:numFmt w:val="bullet"/>
      <w:lvlText w:val=""/>
      <w:lvlJc w:val="left"/>
      <w:pPr>
        <w:ind w:left="2880" w:hanging="360"/>
      </w:pPr>
      <w:rPr>
        <w:rFonts w:ascii="Symbol" w:hAnsi="Symbol" w:hint="default"/>
      </w:rPr>
    </w:lvl>
    <w:lvl w:ilvl="4" w:tplc="19A4F424">
      <w:start w:val="1"/>
      <w:numFmt w:val="bullet"/>
      <w:lvlText w:val="o"/>
      <w:lvlJc w:val="left"/>
      <w:pPr>
        <w:ind w:left="3600" w:hanging="360"/>
      </w:pPr>
      <w:rPr>
        <w:rFonts w:ascii="Courier New" w:hAnsi="Courier New" w:hint="default"/>
      </w:rPr>
    </w:lvl>
    <w:lvl w:ilvl="5" w:tplc="D3444ED0">
      <w:start w:val="1"/>
      <w:numFmt w:val="bullet"/>
      <w:lvlText w:val=""/>
      <w:lvlJc w:val="left"/>
      <w:pPr>
        <w:ind w:left="4320" w:hanging="360"/>
      </w:pPr>
      <w:rPr>
        <w:rFonts w:ascii="Wingdings" w:hAnsi="Wingdings" w:hint="default"/>
      </w:rPr>
    </w:lvl>
    <w:lvl w:ilvl="6" w:tplc="FD6E10EC">
      <w:start w:val="1"/>
      <w:numFmt w:val="bullet"/>
      <w:lvlText w:val=""/>
      <w:lvlJc w:val="left"/>
      <w:pPr>
        <w:ind w:left="5040" w:hanging="360"/>
      </w:pPr>
      <w:rPr>
        <w:rFonts w:ascii="Symbol" w:hAnsi="Symbol" w:hint="default"/>
      </w:rPr>
    </w:lvl>
    <w:lvl w:ilvl="7" w:tplc="AC966EA8">
      <w:start w:val="1"/>
      <w:numFmt w:val="bullet"/>
      <w:lvlText w:val="o"/>
      <w:lvlJc w:val="left"/>
      <w:pPr>
        <w:ind w:left="5760" w:hanging="360"/>
      </w:pPr>
      <w:rPr>
        <w:rFonts w:ascii="Courier New" w:hAnsi="Courier New" w:hint="default"/>
      </w:rPr>
    </w:lvl>
    <w:lvl w:ilvl="8" w:tplc="C52A8896">
      <w:start w:val="1"/>
      <w:numFmt w:val="bullet"/>
      <w:lvlText w:val=""/>
      <w:lvlJc w:val="left"/>
      <w:pPr>
        <w:ind w:left="6480" w:hanging="360"/>
      </w:pPr>
      <w:rPr>
        <w:rFonts w:ascii="Wingdings" w:hAnsi="Wingdings" w:hint="default"/>
      </w:rPr>
    </w:lvl>
  </w:abstractNum>
  <w:abstractNum w:abstractNumId="12" w15:restartNumberingAfterBreak="0">
    <w:nsid w:val="4CE65883"/>
    <w:multiLevelType w:val="multilevel"/>
    <w:tmpl w:val="BC3CB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60456"/>
    <w:multiLevelType w:val="hybridMultilevel"/>
    <w:tmpl w:val="FFFFFFFF"/>
    <w:lvl w:ilvl="0" w:tplc="58EA627E">
      <w:start w:val="1"/>
      <w:numFmt w:val="bullet"/>
      <w:lvlText w:val=""/>
      <w:lvlJc w:val="left"/>
      <w:pPr>
        <w:ind w:left="720" w:hanging="360"/>
      </w:pPr>
      <w:rPr>
        <w:rFonts w:ascii="Symbol" w:hAnsi="Symbol" w:hint="default"/>
      </w:rPr>
    </w:lvl>
    <w:lvl w:ilvl="1" w:tplc="E1D404EE">
      <w:start w:val="1"/>
      <w:numFmt w:val="bullet"/>
      <w:lvlText w:val="o"/>
      <w:lvlJc w:val="left"/>
      <w:pPr>
        <w:ind w:left="1440" w:hanging="360"/>
      </w:pPr>
      <w:rPr>
        <w:rFonts w:ascii="Courier New" w:hAnsi="Courier New" w:hint="default"/>
      </w:rPr>
    </w:lvl>
    <w:lvl w:ilvl="2" w:tplc="95D0EEC6">
      <w:start w:val="1"/>
      <w:numFmt w:val="bullet"/>
      <w:lvlText w:val=""/>
      <w:lvlJc w:val="left"/>
      <w:pPr>
        <w:ind w:left="2160" w:hanging="360"/>
      </w:pPr>
      <w:rPr>
        <w:rFonts w:ascii="Wingdings" w:hAnsi="Wingdings" w:hint="default"/>
      </w:rPr>
    </w:lvl>
    <w:lvl w:ilvl="3" w:tplc="C4CEAD3E">
      <w:start w:val="1"/>
      <w:numFmt w:val="bullet"/>
      <w:lvlText w:val=""/>
      <w:lvlJc w:val="left"/>
      <w:pPr>
        <w:ind w:left="2880" w:hanging="360"/>
      </w:pPr>
      <w:rPr>
        <w:rFonts w:ascii="Symbol" w:hAnsi="Symbol" w:hint="default"/>
      </w:rPr>
    </w:lvl>
    <w:lvl w:ilvl="4" w:tplc="C8CCC160">
      <w:start w:val="1"/>
      <w:numFmt w:val="bullet"/>
      <w:lvlText w:val="o"/>
      <w:lvlJc w:val="left"/>
      <w:pPr>
        <w:ind w:left="3600" w:hanging="360"/>
      </w:pPr>
      <w:rPr>
        <w:rFonts w:ascii="Courier New" w:hAnsi="Courier New" w:hint="default"/>
      </w:rPr>
    </w:lvl>
    <w:lvl w:ilvl="5" w:tplc="28F22190">
      <w:start w:val="1"/>
      <w:numFmt w:val="bullet"/>
      <w:lvlText w:val=""/>
      <w:lvlJc w:val="left"/>
      <w:pPr>
        <w:ind w:left="4320" w:hanging="360"/>
      </w:pPr>
      <w:rPr>
        <w:rFonts w:ascii="Wingdings" w:hAnsi="Wingdings" w:hint="default"/>
      </w:rPr>
    </w:lvl>
    <w:lvl w:ilvl="6" w:tplc="F02694C0">
      <w:start w:val="1"/>
      <w:numFmt w:val="bullet"/>
      <w:lvlText w:val=""/>
      <w:lvlJc w:val="left"/>
      <w:pPr>
        <w:ind w:left="5040" w:hanging="360"/>
      </w:pPr>
      <w:rPr>
        <w:rFonts w:ascii="Symbol" w:hAnsi="Symbol" w:hint="default"/>
      </w:rPr>
    </w:lvl>
    <w:lvl w:ilvl="7" w:tplc="ED18564E">
      <w:start w:val="1"/>
      <w:numFmt w:val="bullet"/>
      <w:lvlText w:val="o"/>
      <w:lvlJc w:val="left"/>
      <w:pPr>
        <w:ind w:left="5760" w:hanging="360"/>
      </w:pPr>
      <w:rPr>
        <w:rFonts w:ascii="Courier New" w:hAnsi="Courier New" w:hint="default"/>
      </w:rPr>
    </w:lvl>
    <w:lvl w:ilvl="8" w:tplc="556C8852">
      <w:start w:val="1"/>
      <w:numFmt w:val="bullet"/>
      <w:lvlText w:val=""/>
      <w:lvlJc w:val="left"/>
      <w:pPr>
        <w:ind w:left="6480" w:hanging="360"/>
      </w:pPr>
      <w:rPr>
        <w:rFonts w:ascii="Wingdings" w:hAnsi="Wingdings" w:hint="default"/>
      </w:rPr>
    </w:lvl>
  </w:abstractNum>
  <w:abstractNum w:abstractNumId="14" w15:restartNumberingAfterBreak="0">
    <w:nsid w:val="5EE7212F"/>
    <w:multiLevelType w:val="hybridMultilevel"/>
    <w:tmpl w:val="9DD45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CD5916"/>
    <w:multiLevelType w:val="multilevel"/>
    <w:tmpl w:val="EBE0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699BC"/>
    <w:multiLevelType w:val="hybridMultilevel"/>
    <w:tmpl w:val="515EFD9C"/>
    <w:lvl w:ilvl="0" w:tplc="F22AB974">
      <w:start w:val="1"/>
      <w:numFmt w:val="bullet"/>
      <w:lvlText w:val=""/>
      <w:lvlJc w:val="left"/>
      <w:pPr>
        <w:ind w:left="720" w:hanging="360"/>
      </w:pPr>
      <w:rPr>
        <w:rFonts w:ascii="Symbol" w:hAnsi="Symbol" w:hint="default"/>
      </w:rPr>
    </w:lvl>
    <w:lvl w:ilvl="1" w:tplc="25209FC0">
      <w:start w:val="1"/>
      <w:numFmt w:val="bullet"/>
      <w:lvlText w:val="o"/>
      <w:lvlJc w:val="left"/>
      <w:pPr>
        <w:ind w:left="1440" w:hanging="360"/>
      </w:pPr>
      <w:rPr>
        <w:rFonts w:ascii="Courier New" w:hAnsi="Courier New" w:hint="default"/>
      </w:rPr>
    </w:lvl>
    <w:lvl w:ilvl="2" w:tplc="289E8DD6">
      <w:start w:val="1"/>
      <w:numFmt w:val="bullet"/>
      <w:lvlText w:val=""/>
      <w:lvlJc w:val="left"/>
      <w:pPr>
        <w:ind w:left="2160" w:hanging="360"/>
      </w:pPr>
      <w:rPr>
        <w:rFonts w:ascii="Wingdings" w:hAnsi="Wingdings" w:hint="default"/>
      </w:rPr>
    </w:lvl>
    <w:lvl w:ilvl="3" w:tplc="AC4083CE">
      <w:start w:val="1"/>
      <w:numFmt w:val="bullet"/>
      <w:lvlText w:val=""/>
      <w:lvlJc w:val="left"/>
      <w:pPr>
        <w:ind w:left="2880" w:hanging="360"/>
      </w:pPr>
      <w:rPr>
        <w:rFonts w:ascii="Symbol" w:hAnsi="Symbol" w:hint="default"/>
      </w:rPr>
    </w:lvl>
    <w:lvl w:ilvl="4" w:tplc="DF2C2C40">
      <w:start w:val="1"/>
      <w:numFmt w:val="bullet"/>
      <w:lvlText w:val="o"/>
      <w:lvlJc w:val="left"/>
      <w:pPr>
        <w:ind w:left="3600" w:hanging="360"/>
      </w:pPr>
      <w:rPr>
        <w:rFonts w:ascii="Courier New" w:hAnsi="Courier New" w:hint="default"/>
      </w:rPr>
    </w:lvl>
    <w:lvl w:ilvl="5" w:tplc="DB5CD6E4">
      <w:start w:val="1"/>
      <w:numFmt w:val="bullet"/>
      <w:lvlText w:val=""/>
      <w:lvlJc w:val="left"/>
      <w:pPr>
        <w:ind w:left="4320" w:hanging="360"/>
      </w:pPr>
      <w:rPr>
        <w:rFonts w:ascii="Wingdings" w:hAnsi="Wingdings" w:hint="default"/>
      </w:rPr>
    </w:lvl>
    <w:lvl w:ilvl="6" w:tplc="70AE4664">
      <w:start w:val="1"/>
      <w:numFmt w:val="bullet"/>
      <w:lvlText w:val=""/>
      <w:lvlJc w:val="left"/>
      <w:pPr>
        <w:ind w:left="5040" w:hanging="360"/>
      </w:pPr>
      <w:rPr>
        <w:rFonts w:ascii="Symbol" w:hAnsi="Symbol" w:hint="default"/>
      </w:rPr>
    </w:lvl>
    <w:lvl w:ilvl="7" w:tplc="F210012C">
      <w:start w:val="1"/>
      <w:numFmt w:val="bullet"/>
      <w:lvlText w:val="o"/>
      <w:lvlJc w:val="left"/>
      <w:pPr>
        <w:ind w:left="5760" w:hanging="360"/>
      </w:pPr>
      <w:rPr>
        <w:rFonts w:ascii="Courier New" w:hAnsi="Courier New" w:hint="default"/>
      </w:rPr>
    </w:lvl>
    <w:lvl w:ilvl="8" w:tplc="2E282564">
      <w:start w:val="1"/>
      <w:numFmt w:val="bullet"/>
      <w:lvlText w:val=""/>
      <w:lvlJc w:val="left"/>
      <w:pPr>
        <w:ind w:left="6480" w:hanging="360"/>
      </w:pPr>
      <w:rPr>
        <w:rFonts w:ascii="Wingdings" w:hAnsi="Wingdings" w:hint="default"/>
      </w:rPr>
    </w:lvl>
  </w:abstractNum>
  <w:abstractNum w:abstractNumId="17" w15:restartNumberingAfterBreak="0">
    <w:nsid w:val="68CE9A28"/>
    <w:multiLevelType w:val="hybridMultilevel"/>
    <w:tmpl w:val="FFFFFFFF"/>
    <w:lvl w:ilvl="0" w:tplc="0D54D2D8">
      <w:start w:val="1"/>
      <w:numFmt w:val="bullet"/>
      <w:lvlText w:val="·"/>
      <w:lvlJc w:val="left"/>
      <w:pPr>
        <w:ind w:left="720" w:hanging="360"/>
      </w:pPr>
      <w:rPr>
        <w:rFonts w:ascii="Symbol" w:hAnsi="Symbol" w:hint="default"/>
      </w:rPr>
    </w:lvl>
    <w:lvl w:ilvl="1" w:tplc="59A8F210">
      <w:start w:val="1"/>
      <w:numFmt w:val="bullet"/>
      <w:lvlText w:val="o"/>
      <w:lvlJc w:val="left"/>
      <w:pPr>
        <w:ind w:left="1440" w:hanging="360"/>
      </w:pPr>
      <w:rPr>
        <w:rFonts w:ascii="Courier New" w:hAnsi="Courier New" w:hint="default"/>
      </w:rPr>
    </w:lvl>
    <w:lvl w:ilvl="2" w:tplc="0C6E3116">
      <w:start w:val="1"/>
      <w:numFmt w:val="bullet"/>
      <w:lvlText w:val=""/>
      <w:lvlJc w:val="left"/>
      <w:pPr>
        <w:ind w:left="2160" w:hanging="360"/>
      </w:pPr>
      <w:rPr>
        <w:rFonts w:ascii="Wingdings" w:hAnsi="Wingdings" w:hint="default"/>
      </w:rPr>
    </w:lvl>
    <w:lvl w:ilvl="3" w:tplc="9334C38E">
      <w:start w:val="1"/>
      <w:numFmt w:val="bullet"/>
      <w:lvlText w:val=""/>
      <w:lvlJc w:val="left"/>
      <w:pPr>
        <w:ind w:left="2880" w:hanging="360"/>
      </w:pPr>
      <w:rPr>
        <w:rFonts w:ascii="Symbol" w:hAnsi="Symbol" w:hint="default"/>
      </w:rPr>
    </w:lvl>
    <w:lvl w:ilvl="4" w:tplc="D72A1066">
      <w:start w:val="1"/>
      <w:numFmt w:val="bullet"/>
      <w:lvlText w:val="o"/>
      <w:lvlJc w:val="left"/>
      <w:pPr>
        <w:ind w:left="3600" w:hanging="360"/>
      </w:pPr>
      <w:rPr>
        <w:rFonts w:ascii="Courier New" w:hAnsi="Courier New" w:hint="default"/>
      </w:rPr>
    </w:lvl>
    <w:lvl w:ilvl="5" w:tplc="649C44B0">
      <w:start w:val="1"/>
      <w:numFmt w:val="bullet"/>
      <w:lvlText w:val=""/>
      <w:lvlJc w:val="left"/>
      <w:pPr>
        <w:ind w:left="4320" w:hanging="360"/>
      </w:pPr>
      <w:rPr>
        <w:rFonts w:ascii="Wingdings" w:hAnsi="Wingdings" w:hint="default"/>
      </w:rPr>
    </w:lvl>
    <w:lvl w:ilvl="6" w:tplc="841CB86E">
      <w:start w:val="1"/>
      <w:numFmt w:val="bullet"/>
      <w:lvlText w:val=""/>
      <w:lvlJc w:val="left"/>
      <w:pPr>
        <w:ind w:left="5040" w:hanging="360"/>
      </w:pPr>
      <w:rPr>
        <w:rFonts w:ascii="Symbol" w:hAnsi="Symbol" w:hint="default"/>
      </w:rPr>
    </w:lvl>
    <w:lvl w:ilvl="7" w:tplc="0DBEAFD6">
      <w:start w:val="1"/>
      <w:numFmt w:val="bullet"/>
      <w:lvlText w:val="o"/>
      <w:lvlJc w:val="left"/>
      <w:pPr>
        <w:ind w:left="5760" w:hanging="360"/>
      </w:pPr>
      <w:rPr>
        <w:rFonts w:ascii="Courier New" w:hAnsi="Courier New" w:hint="default"/>
      </w:rPr>
    </w:lvl>
    <w:lvl w:ilvl="8" w:tplc="557A9E2E">
      <w:start w:val="1"/>
      <w:numFmt w:val="bullet"/>
      <w:lvlText w:val=""/>
      <w:lvlJc w:val="left"/>
      <w:pPr>
        <w:ind w:left="6480" w:hanging="360"/>
      </w:pPr>
      <w:rPr>
        <w:rFonts w:ascii="Wingdings" w:hAnsi="Wingdings" w:hint="default"/>
      </w:rPr>
    </w:lvl>
  </w:abstractNum>
  <w:abstractNum w:abstractNumId="18" w15:restartNumberingAfterBreak="0">
    <w:nsid w:val="6B991C69"/>
    <w:multiLevelType w:val="multilevel"/>
    <w:tmpl w:val="60E0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57A52"/>
    <w:multiLevelType w:val="hybridMultilevel"/>
    <w:tmpl w:val="FFFFFFFF"/>
    <w:lvl w:ilvl="0" w:tplc="6EBCA596">
      <w:start w:val="1"/>
      <w:numFmt w:val="decimal"/>
      <w:lvlText w:val="%1."/>
      <w:lvlJc w:val="left"/>
      <w:pPr>
        <w:ind w:left="720" w:hanging="360"/>
      </w:pPr>
    </w:lvl>
    <w:lvl w:ilvl="1" w:tplc="FF52ACA4">
      <w:start w:val="1"/>
      <w:numFmt w:val="lowerLetter"/>
      <w:lvlText w:val="%2."/>
      <w:lvlJc w:val="left"/>
      <w:pPr>
        <w:ind w:left="1440" w:hanging="360"/>
      </w:pPr>
    </w:lvl>
    <w:lvl w:ilvl="2" w:tplc="92427200">
      <w:start w:val="1"/>
      <w:numFmt w:val="lowerRoman"/>
      <w:lvlText w:val="%3."/>
      <w:lvlJc w:val="right"/>
      <w:pPr>
        <w:ind w:left="2160" w:hanging="180"/>
      </w:pPr>
    </w:lvl>
    <w:lvl w:ilvl="3" w:tplc="D242B342">
      <w:start w:val="1"/>
      <w:numFmt w:val="decimal"/>
      <w:lvlText w:val="%4."/>
      <w:lvlJc w:val="left"/>
      <w:pPr>
        <w:ind w:left="2880" w:hanging="360"/>
      </w:pPr>
    </w:lvl>
    <w:lvl w:ilvl="4" w:tplc="A2DA1024">
      <w:start w:val="1"/>
      <w:numFmt w:val="lowerLetter"/>
      <w:lvlText w:val="%5."/>
      <w:lvlJc w:val="left"/>
      <w:pPr>
        <w:ind w:left="3600" w:hanging="360"/>
      </w:pPr>
    </w:lvl>
    <w:lvl w:ilvl="5" w:tplc="A0929550">
      <w:start w:val="1"/>
      <w:numFmt w:val="lowerRoman"/>
      <w:lvlText w:val="%6."/>
      <w:lvlJc w:val="right"/>
      <w:pPr>
        <w:ind w:left="4320" w:hanging="180"/>
      </w:pPr>
    </w:lvl>
    <w:lvl w:ilvl="6" w:tplc="B74EB698">
      <w:start w:val="1"/>
      <w:numFmt w:val="decimal"/>
      <w:lvlText w:val="%7."/>
      <w:lvlJc w:val="left"/>
      <w:pPr>
        <w:ind w:left="5040" w:hanging="360"/>
      </w:pPr>
    </w:lvl>
    <w:lvl w:ilvl="7" w:tplc="59F8D9FA">
      <w:start w:val="1"/>
      <w:numFmt w:val="lowerLetter"/>
      <w:lvlText w:val="%8."/>
      <w:lvlJc w:val="left"/>
      <w:pPr>
        <w:ind w:left="5760" w:hanging="360"/>
      </w:pPr>
    </w:lvl>
    <w:lvl w:ilvl="8" w:tplc="0A641BEC">
      <w:start w:val="1"/>
      <w:numFmt w:val="lowerRoman"/>
      <w:lvlText w:val="%9."/>
      <w:lvlJc w:val="right"/>
      <w:pPr>
        <w:ind w:left="6480" w:hanging="180"/>
      </w:pPr>
    </w:lvl>
  </w:abstractNum>
  <w:abstractNum w:abstractNumId="20" w15:restartNumberingAfterBreak="0">
    <w:nsid w:val="7681FD88"/>
    <w:multiLevelType w:val="hybridMultilevel"/>
    <w:tmpl w:val="82E404D0"/>
    <w:lvl w:ilvl="0" w:tplc="DD5CB3EE">
      <w:start w:val="1"/>
      <w:numFmt w:val="bullet"/>
      <w:lvlText w:val=""/>
      <w:lvlJc w:val="left"/>
      <w:pPr>
        <w:ind w:left="720" w:hanging="360"/>
      </w:pPr>
      <w:rPr>
        <w:rFonts w:ascii="Symbol" w:hAnsi="Symbol" w:hint="default"/>
      </w:rPr>
    </w:lvl>
    <w:lvl w:ilvl="1" w:tplc="61A20E36">
      <w:start w:val="1"/>
      <w:numFmt w:val="bullet"/>
      <w:lvlText w:val="o"/>
      <w:lvlJc w:val="left"/>
      <w:pPr>
        <w:ind w:left="1440" w:hanging="360"/>
      </w:pPr>
      <w:rPr>
        <w:rFonts w:ascii="Courier New" w:hAnsi="Courier New" w:hint="default"/>
      </w:rPr>
    </w:lvl>
    <w:lvl w:ilvl="2" w:tplc="A05EA6DC">
      <w:start w:val="1"/>
      <w:numFmt w:val="bullet"/>
      <w:lvlText w:val=""/>
      <w:lvlJc w:val="left"/>
      <w:pPr>
        <w:ind w:left="2160" w:hanging="360"/>
      </w:pPr>
      <w:rPr>
        <w:rFonts w:ascii="Wingdings" w:hAnsi="Wingdings" w:hint="default"/>
      </w:rPr>
    </w:lvl>
    <w:lvl w:ilvl="3" w:tplc="C082AD30">
      <w:start w:val="1"/>
      <w:numFmt w:val="bullet"/>
      <w:lvlText w:val=""/>
      <w:lvlJc w:val="left"/>
      <w:pPr>
        <w:ind w:left="2880" w:hanging="360"/>
      </w:pPr>
      <w:rPr>
        <w:rFonts w:ascii="Symbol" w:hAnsi="Symbol" w:hint="default"/>
      </w:rPr>
    </w:lvl>
    <w:lvl w:ilvl="4" w:tplc="AF1A1BD4">
      <w:start w:val="1"/>
      <w:numFmt w:val="bullet"/>
      <w:lvlText w:val="o"/>
      <w:lvlJc w:val="left"/>
      <w:pPr>
        <w:ind w:left="3600" w:hanging="360"/>
      </w:pPr>
      <w:rPr>
        <w:rFonts w:ascii="Courier New" w:hAnsi="Courier New" w:hint="default"/>
      </w:rPr>
    </w:lvl>
    <w:lvl w:ilvl="5" w:tplc="0CC418E4">
      <w:start w:val="1"/>
      <w:numFmt w:val="bullet"/>
      <w:lvlText w:val=""/>
      <w:lvlJc w:val="left"/>
      <w:pPr>
        <w:ind w:left="4320" w:hanging="360"/>
      </w:pPr>
      <w:rPr>
        <w:rFonts w:ascii="Wingdings" w:hAnsi="Wingdings" w:hint="default"/>
      </w:rPr>
    </w:lvl>
    <w:lvl w:ilvl="6" w:tplc="6620404A">
      <w:start w:val="1"/>
      <w:numFmt w:val="bullet"/>
      <w:lvlText w:val=""/>
      <w:lvlJc w:val="left"/>
      <w:pPr>
        <w:ind w:left="5040" w:hanging="360"/>
      </w:pPr>
      <w:rPr>
        <w:rFonts w:ascii="Symbol" w:hAnsi="Symbol" w:hint="default"/>
      </w:rPr>
    </w:lvl>
    <w:lvl w:ilvl="7" w:tplc="B052C892">
      <w:start w:val="1"/>
      <w:numFmt w:val="bullet"/>
      <w:lvlText w:val="o"/>
      <w:lvlJc w:val="left"/>
      <w:pPr>
        <w:ind w:left="5760" w:hanging="360"/>
      </w:pPr>
      <w:rPr>
        <w:rFonts w:ascii="Courier New" w:hAnsi="Courier New" w:hint="default"/>
      </w:rPr>
    </w:lvl>
    <w:lvl w:ilvl="8" w:tplc="1A84A2A4">
      <w:start w:val="1"/>
      <w:numFmt w:val="bullet"/>
      <w:lvlText w:val=""/>
      <w:lvlJc w:val="left"/>
      <w:pPr>
        <w:ind w:left="6480" w:hanging="360"/>
      </w:pPr>
      <w:rPr>
        <w:rFonts w:ascii="Wingdings" w:hAnsi="Wingdings" w:hint="default"/>
      </w:rPr>
    </w:lvl>
  </w:abstractNum>
  <w:abstractNum w:abstractNumId="21" w15:restartNumberingAfterBreak="0">
    <w:nsid w:val="77390C8C"/>
    <w:multiLevelType w:val="multilevel"/>
    <w:tmpl w:val="34CA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F2298E"/>
    <w:multiLevelType w:val="hybridMultilevel"/>
    <w:tmpl w:val="D604E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EF768A"/>
    <w:multiLevelType w:val="multilevel"/>
    <w:tmpl w:val="D03A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204229">
    <w:abstractNumId w:val="14"/>
  </w:num>
  <w:num w:numId="2" w16cid:durableId="2026202086">
    <w:abstractNumId w:val="7"/>
  </w:num>
  <w:num w:numId="3" w16cid:durableId="805584857">
    <w:abstractNumId w:val="4"/>
  </w:num>
  <w:num w:numId="4" w16cid:durableId="733703656">
    <w:abstractNumId w:val="3"/>
  </w:num>
  <w:num w:numId="5" w16cid:durableId="57753016">
    <w:abstractNumId w:val="18"/>
  </w:num>
  <w:num w:numId="6" w16cid:durableId="2026442674">
    <w:abstractNumId w:val="21"/>
  </w:num>
  <w:num w:numId="7" w16cid:durableId="853887834">
    <w:abstractNumId w:val="15"/>
  </w:num>
  <w:num w:numId="8" w16cid:durableId="1949194542">
    <w:abstractNumId w:val="23"/>
  </w:num>
  <w:num w:numId="9" w16cid:durableId="480389360">
    <w:abstractNumId w:val="8"/>
  </w:num>
  <w:num w:numId="10" w16cid:durableId="400369584">
    <w:abstractNumId w:val="12"/>
  </w:num>
  <w:num w:numId="11" w16cid:durableId="102309342">
    <w:abstractNumId w:val="22"/>
  </w:num>
  <w:num w:numId="12" w16cid:durableId="118837953">
    <w:abstractNumId w:val="2"/>
  </w:num>
  <w:num w:numId="13" w16cid:durableId="106391935">
    <w:abstractNumId w:val="1"/>
  </w:num>
  <w:num w:numId="14" w16cid:durableId="1724871455">
    <w:abstractNumId w:val="10"/>
  </w:num>
  <w:num w:numId="15" w16cid:durableId="511578006">
    <w:abstractNumId w:val="6"/>
  </w:num>
  <w:num w:numId="16" w16cid:durableId="936907116">
    <w:abstractNumId w:val="11"/>
  </w:num>
  <w:num w:numId="17" w16cid:durableId="316618008">
    <w:abstractNumId w:val="9"/>
  </w:num>
  <w:num w:numId="18" w16cid:durableId="2087025904">
    <w:abstractNumId w:val="5"/>
  </w:num>
  <w:num w:numId="19" w16cid:durableId="888569738">
    <w:abstractNumId w:val="0"/>
  </w:num>
  <w:num w:numId="20" w16cid:durableId="1370647493">
    <w:abstractNumId w:val="20"/>
  </w:num>
  <w:num w:numId="21" w16cid:durableId="136798174">
    <w:abstractNumId w:val="16"/>
  </w:num>
  <w:num w:numId="22" w16cid:durableId="2128507375">
    <w:abstractNumId w:val="17"/>
  </w:num>
  <w:num w:numId="23" w16cid:durableId="2048330088">
    <w:abstractNumId w:val="19"/>
  </w:num>
  <w:num w:numId="24" w16cid:durableId="952252030">
    <w:abstractNumId w:val="13"/>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khashan.n">
    <w15:presenceInfo w15:providerId="AD" w15:userId="S::alkhashan.n_gmail.com#ext#@cchisa.onmicrosoft.com::2a5bf9c5-5ed9-4843-8689-dbabf0523f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assification" w:val="مقيد/ Restricted"/>
    <w:docVar w:name="ClassificationTagSetId" w:val="e16409a7-1700-4153-9090-3955bc2f0ae8"/>
    <w:docVar w:name="ComplianceTagSetId" w:val="f14fc1f1-8950-40d5-8a29-45909da947d6"/>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5azpz5pk0etf2ee5dwxsfp8t5z5zsw9rvvt&quot;&gt;Health Economics Library&lt;record-ids&gt;&lt;item&gt;219&lt;/item&gt;&lt;item&gt;321&lt;/item&gt;&lt;/record-ids&gt;&lt;/item&gt;&lt;/Libraries&gt;"/>
    <w:docVar w:name="FileId" w:val="b59c9370-c02a-4594-90fd-046f0f0f8e52"/>
    <w:docVar w:name="GVData" w:val="ew0KICAidGFnc2V0X2UxNjQwOWE3XzE3MDBfNDE1M185MDkwXzM5NTViYzJmMGFlOF9jbGFzc2lmaWNhdGlvbiI6ICJDb25maWRlbnRpYWwiLA0KICAiT1MiOiAiV2luZG93cyIsDQogICJkb2NJRCI6ICJiNTljOTM3MC1jMDJhLTQ1OTQtOTBmZC0wNDZmMGYwZjhl"/>
    <w:docVar w:name="GVData0" w:val="NTIiLA0KICAiZG9jU3RhdGUiOiAie1xyXG4gIFx1MDAyMkN1cnJlbnRTdGF0ZVx1MDAyMjogXHUwMDIye1xcdTAwMjJGaXJzdFBhZ2VEaWZmZXJlbnRcXHUwMDIyOmZhbHNlLFxcdTAwMjJEaWZmZXJlbnRPZGRBbmRFdmVuUGFnZXNcXHUwMDIyOmZhbHNlLFxcdTAw"/>
    <w:docVar w:name="GVData1" w:val="MjJQYWdlQ291bnRcXHUwMDIyOjE0LFxcdTAwMjJIZWFkZXJNZXRhZGF0YVxcdTAwMjI6XFx1MDAyMlxcdTAwMjIsXFx1MDAyMlRoaXJkUGFydHlIZWFkZXJNZXRhZGF0YVxcdTAwMjI6XFx1MDAyMlxcdTAwMjIsXFx1MDAyMkdWSGVhZGVyRXhpc3RzXFx1MDAyMjpm"/>
    <w:docVar w:name="GVData10" w:val="XHUwMDNDL3N0cm9uZ1xcdTAwM0VcXHUwMDNDL3NwYW5cXHUwMDNFXFx1MDAzQy9zcGFuXFx1MDAzRVxcdTAwM0MvZGl2XFx1MDAzRVx1MDAyMixcclxuICBcdTAwMjJPcHRpb25zXHUwMDIyOiBcdTAwMjJ7XFx1MDAyMlBvcHVwQ29uZmlndXJhdGlvblxcdTAwMjI6"/>
    <w:docVar w:name="GVData11" w:val="e1xcdTAwMjJBbHdheXNTaG93UG9wdXBcXHUwMDIyOmZhbHNlLFxcdTAwMjJFbmZvcmNlSGVhZGVyRm9vdGVyVHlwZVxcdTAwMjI6dHJ1ZSxcXHUwMDIySGVhZGVyUGxhY2VtZW50VHlwZVxcdTAwMjI6MSxcXHUwMDIyRm9vdGVyUGxhY2VtZW50VHlwZVxcdTAwMjI6"/>
    <w:docVar w:name="GVData12" w:val="MSxcXHUwMDIyRW5mb3JjZUxheW91dE9wdGlvblxcdTAwMjI6dHJ1ZSxcXHUwMDIyTGF5b3V0T3B0aW9uXFx1MDAyMjowLFxcdTAwMjJUcmlnZ2VyTnVtYmVyXFx1MDAyMjowLFxcdTAwMjJGcm9tSW5kZXhcXHUwMDIyOjAsXFx1MDAyMlRvSW5kZXhcXHUwMDIyOjAs"/>
    <w:docVar w:name="GVData13" w:val="XFx1MDAyMkVuZm9yY2VPdmVyd3JpdGVPcHRpb25cXHUwMDIyOnRydWUsXFx1MDAyMk92ZXJ3cml0ZU9wdGlvblxcdTAwMjI6MH0sXFx1MDAyMkhlYWRlckVuYWJsZWRcXHUwMDIyOmZhbHNlLFxcdTAwMjJIZWFkZXJcXHUwMDIyOlxcdTAwMjJcXHUwMDIyLFxcdTAw"/>
    <w:docVar w:name="GVData14" w:val="MjJIZWFkZXJzXFx1MDAyMjpbXFx1MDAyMlxcdTAwMjJdLFxcdTAwMjJIZWFkZXJUeXBlXFx1MDAyMjoyLFxcdTAwMjJIZWFkZXJUeXBlc0FsbG93ZWRcXHUwMDIyOlsyXSxcXHUwMDIySGVhZGVyVXBkYXRlVHlwZVxcdTAwMjI6MCxcXHUwMDIyRm9vdGVyRW5hYmxl"/>
    <w:docVar w:name="GVData15" w:val="ZFxcdTAwMjI6ZmFsc2UsXFx1MDAyMkZvb3RlclxcdTAwMjI6XFx1MDAyMlxcdTAwM0NkaXYgc3R5bGU9XFxcXFxcdTAwMjJ0ZXh0LWFsaWduOmNlbnRlclxcXFxcXHUwMDIyXFx1MDAzRVxcdTAwM0NzcGFuIHN0eWxlPVxcXFxcXHUwMDIyY29sb3I6I0ZGQkYwMDtc"/>
    <w:docVar w:name="GVData16" w:val="XFxcXFx1MDAyMlxcdTAwM0VcXHUwMDNDc3BhblxcdTAwM0VcXHUwMDNDc3Ryb25nXFx1MDAzRUNsYXNzaWZpZWQgYXMgXFx1MDY0NVxcdTA2NDJcXHUwNjRBXFx1MDYyRi8gUmVzdHJpY3RlZFxcdTAwM0Mvc3Ryb25nXFx1MDAzRVxcdTAwM0Mvc3BhblxcdTAwM0Vc"/>
    <w:docVar w:name="GVData17" w:val="XHUwMDNDL3NwYW5cXHUwMDNFXFx1MDAzQy9kaXZcXHUwMDNFXFx1MDAyMixcXHUwMDIyRm9vdGVyc1xcdTAwMjI6W1xcdTAwMjJcXHUwMDNDZGl2IHN0eWxlPVxcXFxcXHUwMDIydGV4dC1hbGlnbjpjZW50ZXJcXFxcXFx1MDAyMlxcdTAwM0VcXHUwMDNDc3BhbiBz"/>
    <w:docVar w:name="GVData18" w:val="dHlsZT1cXFxcXFx1MDAyMmNvbG9yOiNGRkJGMDA7XFxcXFxcdTAwMjJcXHUwMDNFXFx1MDAzQ3NwYW5cXHUwMDNFXFx1MDAzQ3N0cm9uZ1xcdTAwM0VDbGFzc2lmaWVkIGFzIFxcdTA2NDVcXHUwNjQyXFx1MDY0QVxcdTA2MkYvIFJlc3RyaWN0ZWRcXHUwMDNDL3N0"/>
    <w:docVar w:name="GVData19" w:val="cm9uZ1xcdTAwM0VcXHUwMDNDL3NwYW5cXHUwMDNFXFx1MDAzQy9zcGFuXFx1MDAzRVxcdTAwM0MvZGl2XFx1MDAzRVxcdTAwMjJdLFxcdTAwMjJGb290ZXJUeXBlXFx1MDAyMjoxLFxcdTAwMjJGb290ZXJUeXBlc0FsbG93ZWRcXHUwMDIyOlswLDFdLFxcdTAwMjJG"/>
    <w:docVar w:name="GVData2" w:val="YWxzZSxcXHUwMDIyTm9uR1ZIZWFkZXJFeGlzdHNcXHUwMDIyOmZhbHNlLFxcdTAwMjJGbG9hdGluZ0hlYWRlckV4aXN0c1xcdTAwMjI6ZmFsc2UsXFx1MDAyMk5vbkdWSGVhZGVyU2hhcGVFeGlzdHNcXHUwMDIyOmZhbHNlLFxcdTAwMjJUaGlyZFBhcnR5SGVhZGVy"/>
    <w:docVar w:name="GVData20" w:val="b290ZXJVcGRhdGVUeXBlXFx1MDAyMjoxLFxcdTAwMjJXYXRlcm1hcmtcXHUwMDIyOlxcdTAwMjJcXHUwMDIyLFxcdTAwMjJXYXRlcm1hcmtFbmFibGVkXFx1MDAyMjpmYWxzZSxcXHUwMDIyU2hvdWxkV3JpdGVXYXRlcm1hcmtcXHUwMDIyOmZhbHNlLFxcdTAwMjJX"/>
    <w:docVar w:name="GVData21" w:val="YXRlcm1hcmtVcGRhdGVUeXBlXFx1MDAyMjoxLFxcdTAwMjJQb3dlcnBvaW50VGl0bGVcXHUwMDIyOm51bGwsXFx1MDAyMlBvd2VycG9pbnRTdWJpdGxlXFx1MDAyMjpudWxsfVx1MDAyMixcclxuICBcdTAwMjJTdGF0ZVx1MDAyMjogXHUwMDIye1xcdTAwMjJGaXJz"/>
    <w:docVar w:name="GVData22" w:val="dFBhZ2VEaWZmZXJlbnRcXHUwMDIyOmZhbHNlLFxcdTAwMjJEaWZmZXJlbnRPZGRBbmRFdmVuUGFnZXNcXHUwMDIyOmZhbHNlLFxcdTAwMjJQYWdlQ291bnRcXHUwMDIyOjE0LFxcdTAwMjJIZWFkZXJNZXRhZGF0YVxcdTAwMjI6XFx1MDAyMlxcdTAwMjIsXFx1MDAy"/>
    <w:docVar w:name="GVData23" w:val="MlRoaXJkUGFydHlIZWFkZXJNZXRhZGF0YVxcdTAwMjI6XFx1MDAyMlxcdTAwMjIsXFx1MDAyMkdWSGVhZGVyRXhpc3RzXFx1MDAyMjpmYWxzZSxcXHUwMDIyTm9uR1ZIZWFkZXJFeGlzdHNcXHUwMDIyOmZhbHNlLFxcdTAwMjJGbG9hdGluZ0hlYWRlckV4aXN0c1xc"/>
    <w:docVar w:name="GVData24" w:val="dTAwMjI6ZmFsc2UsXFx1MDAyMk5vbkdWSGVhZGVyU2hhcGVFeGlzdHNcXHUwMDIyOmZhbHNlLFxcdTAwMjJUaGlyZFBhcnR5SGVhZGVyc1xcdTAwMjI6W10sXFx1MDAyMkZvb3Rlck1ldGFkYXRhXFx1MDAyMjpcXHUwMDIyXFx1MDAzQ2RpdiBzdHlsZT1cXFxcXFx1"/>
    <w:docVar w:name="GVData25" w:val="MDAyMnRleHQtYWxpZ246Y2VudGVyXFxcXFxcdTAwMjJcXHUwMDNFXFx1MDAzQ3NwYW4gc3R5bGU9XFxcXFxcdTAwMjJjb2xvcjojRkZCRjAwO1xcXFxcXHUwMDIyXFx1MDAzRVxcdTAwM0NzcGFuXFx1MDAzRVxcdTAwM0NzdHJvbmdcXHUwMDNFQ2xhc3NpZmllZCBh"/>
    <w:docVar w:name="GVData26" w:val="cyBcXHUwNjQ1XFx1MDY0MlxcdTA2NEFcXHUwNjJGLyBSZXN0cmljdGVkXFx1MDAzQy9zdHJvbmdcXHUwMDNFXFx1MDAzQy9zcGFuXFx1MDAzRVxcdTAwM0Mvc3BhblxcdTAwM0VcXHUwMDNDL2RpdlxcdTAwM0VcXHUwMDIyLFxcdTAwMjJUaGlyZFBhcnR5Rm9vdGVy"/>
    <w:docVar w:name="GVData27" w:val="TWV0YWRhdGFcXHUwMDIyOlxcdTAwMjJcXHUwMDIyLFxcdTAwMjJHVkZvb3RlckV4aXN0c1xcdTAwMjI6ZmFsc2UsXFx1MDAyMk5vbkdWRm9vdGVyRXhpc3RzXFx1MDAyMjpmYWxzZSxcXHUwMDIyRmxvYXRpbmdGb290ZXJFeGlzdHNcXHUwMDIyOnRydWUsXFx1MDAy"/>
    <w:docVar w:name="GVData28" w:val="Mk5vbkdWRm9vdGVyU2hhcGVFeGlzdHNcXHUwMDIyOmZhbHNlLFxcdTAwMjJUaGlyZFBhcnR5Rm9vdGVyc1xcdTAwMjI6W10sXFx1MDAyMldhdGVybWFya01ldGFkYXRhXFx1MDAyMjpcXHUwMDIyXFx1MDAyMixcXHUwMDIyV2F0ZXJtYXJrRXhpc3RzXFx1MDAyMjpm"/>
    <w:docVar w:name="GVData29" w:val="YWxzZSxcXHUwMDIyUG93ZXJwb2ludFRpdGxlTWV0YWRhdGFcXHUwMDIyOm51bGwsXFx1MDAyMlBvd2VycG9pbnRTdWJ0aXRsZU1ldGFkYXRhXFx1MDAyMjpudWxsLFxcdTAwMjJUaGlyZFBhcnR5TWV0YWRhdGFGb3VuZFxcdTAwMjI6ZmFsc2V9XHUwMDIyXHJcbn0i"/>
    <w:docVar w:name="GVData3" w:val="c1xcdTAwMjI6W10sXFx1MDAyMkZvb3Rlck1ldGFkYXRhXFx1MDAyMjpcXHUwMDIyXFx1MDAzQ2RpdiBzdHlsZT1cXFxcXFx1MDAyMnRleHQtYWxpZ246Y2VudGVyXFxcXFxcdTAwMjJcXHUwMDNFXFx1MDAzQ3NwYW4gc3R5bGU9XFxcXFxcdTAwMjJjb2xvcjojRkZC"/>
    <w:docVar w:name="GVData30" w:val="LA0KICAibGluZUlkIjogImRiOWJlY2QzLWM3OTEtNGM1OS1hYTBlLTc4MTM2NDE5ZDgwMiIsDQogICJwYXJlbnRMaW5lSWRzIjogIltcdTAwMjJiMzE5NTQ2Mi0yNGE4LTRkYmItYTJkNS04MWE5NGNhYzA2YzRcdTAwMjIsXHUwMDIyMzU4NjBkYmMtOWU0Ny00Njdi"/>
    <w:docVar w:name="GVData31" w:val="LTgzYTAtMGU4OTVmZDA2YzBjXHUwMDIyLFx1MDAyMjk3ODYwY2IxLWY2MTYtNGFlNC1hZjM2LThhZWI3YmFlMDVmNlx1MDAyMixcdTAwMjIxMTUyMTUyMi1mZWVlLTRjMzMtYWU3OC0yMzA2N2FjZjQ4NGZcdTAwMjIsXHUwMDIyMTMzYzNiNDUtYzdkZC00MzUwLWI0"/>
    <w:docVar w:name="GVData32" w:val="NzQtYzg1MzZhZWY1ZjIyXHUwMDIyLFx1MDAyMjEzYTcxMTg2LWMwZjYtNDgwMS1iMzZiLWQxZjRhYjliOTY3MVx1MDAyMixcdTAwMjIyNDY1MzVmNC1lNWM3LTQ0MWUtYjY0ZS1kYjExMTQ1NzY5N2VcdTAwMjIsXHUwMDIyM2NjYmM2NDctZDYxMy00MWViLWIyYzUt"/>
    <w:docVar w:name="GVData33" w:val="MjFkNTE0OThmYjBhXHUwMDIyLFx1MDAyMmM4ZTRiNTFkLTg5NDktNGE5NC1iZjY4LWM5OTBkNjdmYzY4MVx1MDAyMixcdTAwMjIxZDllNGEzOS0yNDA1LTQxY2UtODhiNy1hZmYzYTExY2Y3ZDNcdTAwMjJdIg0KfQ=="/>
    <w:docVar w:name="GVData34" w:val="(end)"/>
    <w:docVar w:name="GVData4" w:val="RjAwO1xcXFxcXHUwMDIyXFx1MDAzRVxcdTAwM0NzcGFuXFx1MDAzRVxcdTAwM0NzdHJvbmdcXHUwMDNFQ2xhc3NpZmllZCBhcyBcXHUwNjQ1XFx1MDY0MlxcdTA2NEFcXHUwNjJGLyBSZXN0cmljdGVkXFx1MDAzQy9zdHJvbmdcXHUwMDNFXFx1MDAzQy9zcGFuXFx1"/>
    <w:docVar w:name="GVData5" w:val="MDAzRVxcdTAwM0Mvc3BhblxcdTAwM0VcXHUwMDNDL2RpdlxcdTAwM0VcXHUwMDIyLFxcdTAwMjJUaGlyZFBhcnR5Rm9vdGVyTWV0YWRhdGFcXHUwMDIyOlxcdTAwMjJcXHUwMDIyLFxcdTAwMjJHVkZvb3RlckV4aXN0c1xcdTAwMjI6ZmFsc2UsXFx1MDAyMk5vbkdW"/>
    <w:docVar w:name="GVData6" w:val="Rm9vdGVyRXhpc3RzXFx1MDAyMjpmYWxzZSxcXHUwMDIyRmxvYXRpbmdGb290ZXJFeGlzdHNcXHUwMDIyOnRydWUsXFx1MDAyMk5vbkdWRm9vdGVyU2hhcGVFeGlzdHNcXHUwMDIyOmZhbHNlLFxcdTAwMjJUaGlyZFBhcnR5Rm9vdGVyc1xcdTAwMjI6W10sXFx1MDAy"/>
    <w:docVar w:name="GVData7" w:val="MldhdGVybWFya01ldGFkYXRhXFx1MDAyMjpcXHUwMDIyXFx1MDAyMixcXHUwMDIyV2F0ZXJtYXJrRXhpc3RzXFx1MDAyMjpmYWxzZSxcXHUwMDIyUG93ZXJwb2ludFRpdGxlTWV0YWRhdGFcXHUwMDIyOm51bGwsXFx1MDAyMlBvd2VycG9pbnRTdWJ0aXRsZU1ldGFk"/>
    <w:docVar w:name="GVData8" w:val="YXRhXFx1MDAyMjpudWxsLFxcdTAwMjJUaGlyZFBhcnR5TWV0YWRhdGFGb3VuZFxcdTAwMjI6ZmFsc2V9XHUwMDIyLFxyXG4gIFx1MDAyMkZvb3Rlclx1MDAyMjogXHUwMDIyXFx1MDAzQ2RpdiBzdHlsZT1cXHUwMDIydGV4dC1hbGlnbjpjZW50ZXJcXHUwMDIyXFx1"/>
    <w:docVar w:name="GVData9" w:val="MDAzRVxcdTAwM0NzcGFuIHN0eWxlPVxcdTAwMjJjb2xvcjojRkZCRjAwO1xcdTAwMjJcXHUwMDNFXFx1MDAzQ3NwYW5cXHUwMDNFXFx1MDAzQ3N0cm9uZ1xcdTAwM0VDbGFzc2lmaWVkIGFzIFxcdTA2NDVcXHUwNjQyXFx1MDY0QVxcdTA2MkYvIFJlc3RyaWN0ZWRc"/>
    <w:docVar w:name="TagDateTime" w:val="2025-12-22T06:21:37Z"/>
    <w:docVar w:name="UserId" w:val="FARAH ALANAZI"/>
  </w:docVars>
  <w:rsids>
    <w:rsidRoot w:val="0050122F"/>
    <w:rsid w:val="000007EF"/>
    <w:rsid w:val="00000D74"/>
    <w:rsid w:val="00002260"/>
    <w:rsid w:val="000024A7"/>
    <w:rsid w:val="00002FAE"/>
    <w:rsid w:val="00007275"/>
    <w:rsid w:val="00010243"/>
    <w:rsid w:val="00010680"/>
    <w:rsid w:val="0001177E"/>
    <w:rsid w:val="00011B64"/>
    <w:rsid w:val="00012326"/>
    <w:rsid w:val="00014C07"/>
    <w:rsid w:val="00015721"/>
    <w:rsid w:val="0001624D"/>
    <w:rsid w:val="00017433"/>
    <w:rsid w:val="00020066"/>
    <w:rsid w:val="00020AC8"/>
    <w:rsid w:val="00021932"/>
    <w:rsid w:val="00021BD1"/>
    <w:rsid w:val="00021FDB"/>
    <w:rsid w:val="00022C1C"/>
    <w:rsid w:val="00024054"/>
    <w:rsid w:val="00024C4F"/>
    <w:rsid w:val="000251C0"/>
    <w:rsid w:val="000271AF"/>
    <w:rsid w:val="0002725F"/>
    <w:rsid w:val="0002734F"/>
    <w:rsid w:val="000278BF"/>
    <w:rsid w:val="00030242"/>
    <w:rsid w:val="000307A4"/>
    <w:rsid w:val="00031CA9"/>
    <w:rsid w:val="00032FDB"/>
    <w:rsid w:val="0003329A"/>
    <w:rsid w:val="00033346"/>
    <w:rsid w:val="000335DE"/>
    <w:rsid w:val="00033F4D"/>
    <w:rsid w:val="000341E1"/>
    <w:rsid w:val="000346D0"/>
    <w:rsid w:val="00034BEB"/>
    <w:rsid w:val="00034F1F"/>
    <w:rsid w:val="000368A3"/>
    <w:rsid w:val="000375DA"/>
    <w:rsid w:val="00037A5B"/>
    <w:rsid w:val="00037B7A"/>
    <w:rsid w:val="00040438"/>
    <w:rsid w:val="0004072E"/>
    <w:rsid w:val="000412DD"/>
    <w:rsid w:val="000414EE"/>
    <w:rsid w:val="00041CA7"/>
    <w:rsid w:val="00042530"/>
    <w:rsid w:val="00043245"/>
    <w:rsid w:val="00043FE1"/>
    <w:rsid w:val="0004499B"/>
    <w:rsid w:val="0005017E"/>
    <w:rsid w:val="000509CE"/>
    <w:rsid w:val="00051572"/>
    <w:rsid w:val="000515F6"/>
    <w:rsid w:val="000545B5"/>
    <w:rsid w:val="00056511"/>
    <w:rsid w:val="000565A2"/>
    <w:rsid w:val="00060A80"/>
    <w:rsid w:val="00061358"/>
    <w:rsid w:val="000623B1"/>
    <w:rsid w:val="0006246F"/>
    <w:rsid w:val="00063472"/>
    <w:rsid w:val="00063A33"/>
    <w:rsid w:val="00063C7D"/>
    <w:rsid w:val="00064C03"/>
    <w:rsid w:val="00064CBD"/>
    <w:rsid w:val="00064CF2"/>
    <w:rsid w:val="00065064"/>
    <w:rsid w:val="000655D8"/>
    <w:rsid w:val="00066CF0"/>
    <w:rsid w:val="00073ACE"/>
    <w:rsid w:val="00074659"/>
    <w:rsid w:val="00075A8B"/>
    <w:rsid w:val="00075F40"/>
    <w:rsid w:val="00076056"/>
    <w:rsid w:val="0007611C"/>
    <w:rsid w:val="00077F96"/>
    <w:rsid w:val="00080A73"/>
    <w:rsid w:val="00080F1B"/>
    <w:rsid w:val="00081438"/>
    <w:rsid w:val="0008176B"/>
    <w:rsid w:val="00081A6D"/>
    <w:rsid w:val="0008232E"/>
    <w:rsid w:val="00082DE3"/>
    <w:rsid w:val="000844DE"/>
    <w:rsid w:val="000845B2"/>
    <w:rsid w:val="000849EB"/>
    <w:rsid w:val="000850E1"/>
    <w:rsid w:val="00085241"/>
    <w:rsid w:val="00085321"/>
    <w:rsid w:val="00086702"/>
    <w:rsid w:val="00086C6D"/>
    <w:rsid w:val="00087C61"/>
    <w:rsid w:val="00087EC7"/>
    <w:rsid w:val="000915F9"/>
    <w:rsid w:val="00092134"/>
    <w:rsid w:val="00093B4A"/>
    <w:rsid w:val="00094795"/>
    <w:rsid w:val="00095A0A"/>
    <w:rsid w:val="00095B61"/>
    <w:rsid w:val="00096943"/>
    <w:rsid w:val="0009721B"/>
    <w:rsid w:val="000A19EB"/>
    <w:rsid w:val="000A1FC4"/>
    <w:rsid w:val="000A2FF1"/>
    <w:rsid w:val="000A5064"/>
    <w:rsid w:val="000A7453"/>
    <w:rsid w:val="000A75C0"/>
    <w:rsid w:val="000A7845"/>
    <w:rsid w:val="000B0D27"/>
    <w:rsid w:val="000B231C"/>
    <w:rsid w:val="000B2988"/>
    <w:rsid w:val="000B2ACA"/>
    <w:rsid w:val="000B2B56"/>
    <w:rsid w:val="000B3B09"/>
    <w:rsid w:val="000B4AE6"/>
    <w:rsid w:val="000B52D8"/>
    <w:rsid w:val="000B56A4"/>
    <w:rsid w:val="000B6E08"/>
    <w:rsid w:val="000B718A"/>
    <w:rsid w:val="000B73C0"/>
    <w:rsid w:val="000B7509"/>
    <w:rsid w:val="000B7E92"/>
    <w:rsid w:val="000C03A0"/>
    <w:rsid w:val="000C2F4D"/>
    <w:rsid w:val="000C3C6A"/>
    <w:rsid w:val="000C4CFB"/>
    <w:rsid w:val="000C5626"/>
    <w:rsid w:val="000C5ACF"/>
    <w:rsid w:val="000C6CD0"/>
    <w:rsid w:val="000C7B0A"/>
    <w:rsid w:val="000D1111"/>
    <w:rsid w:val="000D1861"/>
    <w:rsid w:val="000D345C"/>
    <w:rsid w:val="000D3E61"/>
    <w:rsid w:val="000D3EE9"/>
    <w:rsid w:val="000D4569"/>
    <w:rsid w:val="000D4628"/>
    <w:rsid w:val="000D6BB2"/>
    <w:rsid w:val="000D7597"/>
    <w:rsid w:val="000E16C7"/>
    <w:rsid w:val="000E2C67"/>
    <w:rsid w:val="000E2F0F"/>
    <w:rsid w:val="000E5934"/>
    <w:rsid w:val="000E68B7"/>
    <w:rsid w:val="000E69B9"/>
    <w:rsid w:val="000F0B1B"/>
    <w:rsid w:val="000F1496"/>
    <w:rsid w:val="000F157C"/>
    <w:rsid w:val="000F15D6"/>
    <w:rsid w:val="000F19E6"/>
    <w:rsid w:val="000F2EC9"/>
    <w:rsid w:val="000F42E7"/>
    <w:rsid w:val="000F4B18"/>
    <w:rsid w:val="000F4BDD"/>
    <w:rsid w:val="000F4E8B"/>
    <w:rsid w:val="000F510F"/>
    <w:rsid w:val="000F5CF0"/>
    <w:rsid w:val="000F6084"/>
    <w:rsid w:val="000F6695"/>
    <w:rsid w:val="0010265A"/>
    <w:rsid w:val="0010318D"/>
    <w:rsid w:val="001031CD"/>
    <w:rsid w:val="00103480"/>
    <w:rsid w:val="00104A2F"/>
    <w:rsid w:val="00104BBC"/>
    <w:rsid w:val="00104E01"/>
    <w:rsid w:val="0010532F"/>
    <w:rsid w:val="001057E3"/>
    <w:rsid w:val="00105C77"/>
    <w:rsid w:val="00105DED"/>
    <w:rsid w:val="00106705"/>
    <w:rsid w:val="00106F89"/>
    <w:rsid w:val="001071C0"/>
    <w:rsid w:val="00107B2F"/>
    <w:rsid w:val="0011009B"/>
    <w:rsid w:val="001109E3"/>
    <w:rsid w:val="00111973"/>
    <w:rsid w:val="001123F3"/>
    <w:rsid w:val="0011299A"/>
    <w:rsid w:val="001145AA"/>
    <w:rsid w:val="00115DA5"/>
    <w:rsid w:val="00116C9C"/>
    <w:rsid w:val="001177CE"/>
    <w:rsid w:val="00120076"/>
    <w:rsid w:val="001215D7"/>
    <w:rsid w:val="00123032"/>
    <w:rsid w:val="001236AE"/>
    <w:rsid w:val="001240A5"/>
    <w:rsid w:val="00124F00"/>
    <w:rsid w:val="001259B4"/>
    <w:rsid w:val="00125C26"/>
    <w:rsid w:val="00126B14"/>
    <w:rsid w:val="00126D21"/>
    <w:rsid w:val="00127981"/>
    <w:rsid w:val="0013020B"/>
    <w:rsid w:val="00131768"/>
    <w:rsid w:val="001323B7"/>
    <w:rsid w:val="0013241D"/>
    <w:rsid w:val="001348DB"/>
    <w:rsid w:val="001351F0"/>
    <w:rsid w:val="00135D72"/>
    <w:rsid w:val="00136894"/>
    <w:rsid w:val="00141677"/>
    <w:rsid w:val="00142781"/>
    <w:rsid w:val="001448FA"/>
    <w:rsid w:val="00144F56"/>
    <w:rsid w:val="001455E5"/>
    <w:rsid w:val="00146A33"/>
    <w:rsid w:val="0015124B"/>
    <w:rsid w:val="001522E4"/>
    <w:rsid w:val="00152705"/>
    <w:rsid w:val="001528AC"/>
    <w:rsid w:val="00155B9C"/>
    <w:rsid w:val="0015755D"/>
    <w:rsid w:val="00157DC0"/>
    <w:rsid w:val="001617AD"/>
    <w:rsid w:val="0016342A"/>
    <w:rsid w:val="001653F9"/>
    <w:rsid w:val="001654F2"/>
    <w:rsid w:val="0016732A"/>
    <w:rsid w:val="00167811"/>
    <w:rsid w:val="001718B0"/>
    <w:rsid w:val="001718FC"/>
    <w:rsid w:val="00171972"/>
    <w:rsid w:val="001724CA"/>
    <w:rsid w:val="00172C10"/>
    <w:rsid w:val="00172EF4"/>
    <w:rsid w:val="00173344"/>
    <w:rsid w:val="001734EA"/>
    <w:rsid w:val="00174B86"/>
    <w:rsid w:val="001768A3"/>
    <w:rsid w:val="00176A84"/>
    <w:rsid w:val="00177066"/>
    <w:rsid w:val="001778FA"/>
    <w:rsid w:val="00180E85"/>
    <w:rsid w:val="001810B2"/>
    <w:rsid w:val="00181AD9"/>
    <w:rsid w:val="0018246A"/>
    <w:rsid w:val="001824E3"/>
    <w:rsid w:val="00186918"/>
    <w:rsid w:val="00186C83"/>
    <w:rsid w:val="00190ADB"/>
    <w:rsid w:val="0019135A"/>
    <w:rsid w:val="00191DAD"/>
    <w:rsid w:val="00192165"/>
    <w:rsid w:val="00192624"/>
    <w:rsid w:val="00192B7A"/>
    <w:rsid w:val="00192C6A"/>
    <w:rsid w:val="00193131"/>
    <w:rsid w:val="00193E31"/>
    <w:rsid w:val="001944CF"/>
    <w:rsid w:val="00195BF5"/>
    <w:rsid w:val="00196D87"/>
    <w:rsid w:val="001A0D3B"/>
    <w:rsid w:val="001A16D0"/>
    <w:rsid w:val="001A2212"/>
    <w:rsid w:val="001A2853"/>
    <w:rsid w:val="001A328B"/>
    <w:rsid w:val="001A4055"/>
    <w:rsid w:val="001A4DB2"/>
    <w:rsid w:val="001A5634"/>
    <w:rsid w:val="001A672D"/>
    <w:rsid w:val="001A6A73"/>
    <w:rsid w:val="001A72F7"/>
    <w:rsid w:val="001A744B"/>
    <w:rsid w:val="001B0884"/>
    <w:rsid w:val="001B0B91"/>
    <w:rsid w:val="001B0E0E"/>
    <w:rsid w:val="001B1117"/>
    <w:rsid w:val="001B11CF"/>
    <w:rsid w:val="001B21C0"/>
    <w:rsid w:val="001B4B1B"/>
    <w:rsid w:val="001B79C8"/>
    <w:rsid w:val="001C001C"/>
    <w:rsid w:val="001C3209"/>
    <w:rsid w:val="001C47E9"/>
    <w:rsid w:val="001C498C"/>
    <w:rsid w:val="001C4E8E"/>
    <w:rsid w:val="001C53F5"/>
    <w:rsid w:val="001C5FA8"/>
    <w:rsid w:val="001C712D"/>
    <w:rsid w:val="001C71D4"/>
    <w:rsid w:val="001C7251"/>
    <w:rsid w:val="001C7924"/>
    <w:rsid w:val="001C7FCC"/>
    <w:rsid w:val="001D1801"/>
    <w:rsid w:val="001D261D"/>
    <w:rsid w:val="001D38DC"/>
    <w:rsid w:val="001D4971"/>
    <w:rsid w:val="001D4E19"/>
    <w:rsid w:val="001D5640"/>
    <w:rsid w:val="001E39BD"/>
    <w:rsid w:val="001E3B86"/>
    <w:rsid w:val="001E4C43"/>
    <w:rsid w:val="001E5519"/>
    <w:rsid w:val="001E5561"/>
    <w:rsid w:val="001E6F6D"/>
    <w:rsid w:val="001E780A"/>
    <w:rsid w:val="001E7B87"/>
    <w:rsid w:val="001E7C3C"/>
    <w:rsid w:val="001E7E71"/>
    <w:rsid w:val="001F0CBB"/>
    <w:rsid w:val="001F2585"/>
    <w:rsid w:val="001F3069"/>
    <w:rsid w:val="001F4B20"/>
    <w:rsid w:val="001F557C"/>
    <w:rsid w:val="001F59E9"/>
    <w:rsid w:val="001F6E7B"/>
    <w:rsid w:val="001F6F78"/>
    <w:rsid w:val="00200F14"/>
    <w:rsid w:val="00201FA1"/>
    <w:rsid w:val="00201FF5"/>
    <w:rsid w:val="00202F1E"/>
    <w:rsid w:val="002038E3"/>
    <w:rsid w:val="00204CB3"/>
    <w:rsid w:val="002052FC"/>
    <w:rsid w:val="002059F0"/>
    <w:rsid w:val="00206650"/>
    <w:rsid w:val="00207127"/>
    <w:rsid w:val="002073A9"/>
    <w:rsid w:val="002076F1"/>
    <w:rsid w:val="00210BA1"/>
    <w:rsid w:val="0021119C"/>
    <w:rsid w:val="00211DBC"/>
    <w:rsid w:val="00212096"/>
    <w:rsid w:val="002126F2"/>
    <w:rsid w:val="00213FFF"/>
    <w:rsid w:val="002144CE"/>
    <w:rsid w:val="00215C86"/>
    <w:rsid w:val="00215D1D"/>
    <w:rsid w:val="00216F45"/>
    <w:rsid w:val="0021772B"/>
    <w:rsid w:val="00220CBC"/>
    <w:rsid w:val="002216AD"/>
    <w:rsid w:val="0022303D"/>
    <w:rsid w:val="00223B67"/>
    <w:rsid w:val="002247D7"/>
    <w:rsid w:val="00225766"/>
    <w:rsid w:val="00225D29"/>
    <w:rsid w:val="00226F42"/>
    <w:rsid w:val="00227882"/>
    <w:rsid w:val="00230C68"/>
    <w:rsid w:val="00231136"/>
    <w:rsid w:val="00231B17"/>
    <w:rsid w:val="00232D18"/>
    <w:rsid w:val="0023360B"/>
    <w:rsid w:val="00233EA3"/>
    <w:rsid w:val="00234D25"/>
    <w:rsid w:val="00235A37"/>
    <w:rsid w:val="00240D9C"/>
    <w:rsid w:val="00242B0D"/>
    <w:rsid w:val="00244E33"/>
    <w:rsid w:val="0024545F"/>
    <w:rsid w:val="002455D3"/>
    <w:rsid w:val="00245C9D"/>
    <w:rsid w:val="002466F4"/>
    <w:rsid w:val="00246C3F"/>
    <w:rsid w:val="00247A63"/>
    <w:rsid w:val="00250ED0"/>
    <w:rsid w:val="0025343C"/>
    <w:rsid w:val="00253AF8"/>
    <w:rsid w:val="00253D64"/>
    <w:rsid w:val="002551D3"/>
    <w:rsid w:val="0025528E"/>
    <w:rsid w:val="00255FF8"/>
    <w:rsid w:val="00256010"/>
    <w:rsid w:val="0025636A"/>
    <w:rsid w:val="0025772F"/>
    <w:rsid w:val="00260DC3"/>
    <w:rsid w:val="002621C9"/>
    <w:rsid w:val="002625C2"/>
    <w:rsid w:val="00265420"/>
    <w:rsid w:val="00265B85"/>
    <w:rsid w:val="00266A1B"/>
    <w:rsid w:val="00266A97"/>
    <w:rsid w:val="00270742"/>
    <w:rsid w:val="002717A2"/>
    <w:rsid w:val="002717A4"/>
    <w:rsid w:val="00271905"/>
    <w:rsid w:val="00277AF1"/>
    <w:rsid w:val="00277EFF"/>
    <w:rsid w:val="002800FC"/>
    <w:rsid w:val="00283455"/>
    <w:rsid w:val="002838A9"/>
    <w:rsid w:val="002842BB"/>
    <w:rsid w:val="00284C99"/>
    <w:rsid w:val="00285DEB"/>
    <w:rsid w:val="00286355"/>
    <w:rsid w:val="00286F6B"/>
    <w:rsid w:val="0028774E"/>
    <w:rsid w:val="00287806"/>
    <w:rsid w:val="00290824"/>
    <w:rsid w:val="00290B0E"/>
    <w:rsid w:val="002917AE"/>
    <w:rsid w:val="00291EEB"/>
    <w:rsid w:val="00293261"/>
    <w:rsid w:val="00294448"/>
    <w:rsid w:val="0029453F"/>
    <w:rsid w:val="00294FBE"/>
    <w:rsid w:val="002950ED"/>
    <w:rsid w:val="00295C83"/>
    <w:rsid w:val="00297F91"/>
    <w:rsid w:val="002A0410"/>
    <w:rsid w:val="002A0DED"/>
    <w:rsid w:val="002A27D1"/>
    <w:rsid w:val="002A2E6C"/>
    <w:rsid w:val="002A49BE"/>
    <w:rsid w:val="002A4D0A"/>
    <w:rsid w:val="002A4EDD"/>
    <w:rsid w:val="002A5079"/>
    <w:rsid w:val="002A5DE3"/>
    <w:rsid w:val="002A5F3A"/>
    <w:rsid w:val="002A6207"/>
    <w:rsid w:val="002A655E"/>
    <w:rsid w:val="002A7963"/>
    <w:rsid w:val="002A7FC0"/>
    <w:rsid w:val="002B059A"/>
    <w:rsid w:val="002B06F7"/>
    <w:rsid w:val="002B0B5B"/>
    <w:rsid w:val="002B10DD"/>
    <w:rsid w:val="002B1111"/>
    <w:rsid w:val="002B13BA"/>
    <w:rsid w:val="002B1936"/>
    <w:rsid w:val="002B1CB7"/>
    <w:rsid w:val="002B4109"/>
    <w:rsid w:val="002B592C"/>
    <w:rsid w:val="002B6015"/>
    <w:rsid w:val="002B61FA"/>
    <w:rsid w:val="002B7BEC"/>
    <w:rsid w:val="002C06EB"/>
    <w:rsid w:val="002C1C29"/>
    <w:rsid w:val="002C2A53"/>
    <w:rsid w:val="002C2C68"/>
    <w:rsid w:val="002C41C3"/>
    <w:rsid w:val="002C41D0"/>
    <w:rsid w:val="002C5019"/>
    <w:rsid w:val="002C50BB"/>
    <w:rsid w:val="002C58BE"/>
    <w:rsid w:val="002C609E"/>
    <w:rsid w:val="002C7186"/>
    <w:rsid w:val="002C7D6A"/>
    <w:rsid w:val="002D033E"/>
    <w:rsid w:val="002D0CC3"/>
    <w:rsid w:val="002D0DD9"/>
    <w:rsid w:val="002D1876"/>
    <w:rsid w:val="002D1E7C"/>
    <w:rsid w:val="002D2487"/>
    <w:rsid w:val="002D2A5A"/>
    <w:rsid w:val="002D3F82"/>
    <w:rsid w:val="002D498E"/>
    <w:rsid w:val="002D4C66"/>
    <w:rsid w:val="002D4FF5"/>
    <w:rsid w:val="002D6133"/>
    <w:rsid w:val="002D6BE9"/>
    <w:rsid w:val="002D761A"/>
    <w:rsid w:val="002E03E1"/>
    <w:rsid w:val="002E0504"/>
    <w:rsid w:val="002E1241"/>
    <w:rsid w:val="002E13DF"/>
    <w:rsid w:val="002E26A5"/>
    <w:rsid w:val="002E29E5"/>
    <w:rsid w:val="002E3F01"/>
    <w:rsid w:val="002E53E6"/>
    <w:rsid w:val="002E7001"/>
    <w:rsid w:val="002E7779"/>
    <w:rsid w:val="002F1014"/>
    <w:rsid w:val="002F14E0"/>
    <w:rsid w:val="002F24C8"/>
    <w:rsid w:val="002F255A"/>
    <w:rsid w:val="002F2813"/>
    <w:rsid w:val="002F4E51"/>
    <w:rsid w:val="002F4E70"/>
    <w:rsid w:val="002F4EBE"/>
    <w:rsid w:val="002F4F74"/>
    <w:rsid w:val="002F50C6"/>
    <w:rsid w:val="002F6C38"/>
    <w:rsid w:val="002F747D"/>
    <w:rsid w:val="00300883"/>
    <w:rsid w:val="00300F66"/>
    <w:rsid w:val="00301171"/>
    <w:rsid w:val="003037BB"/>
    <w:rsid w:val="0030427A"/>
    <w:rsid w:val="00305B89"/>
    <w:rsid w:val="00305D4C"/>
    <w:rsid w:val="00306423"/>
    <w:rsid w:val="00307F42"/>
    <w:rsid w:val="00310272"/>
    <w:rsid w:val="00311645"/>
    <w:rsid w:val="003134D5"/>
    <w:rsid w:val="0031546E"/>
    <w:rsid w:val="0031562F"/>
    <w:rsid w:val="003169C8"/>
    <w:rsid w:val="00317316"/>
    <w:rsid w:val="003177FF"/>
    <w:rsid w:val="00317BD1"/>
    <w:rsid w:val="0032014C"/>
    <w:rsid w:val="00320831"/>
    <w:rsid w:val="00321A55"/>
    <w:rsid w:val="00321D99"/>
    <w:rsid w:val="00322642"/>
    <w:rsid w:val="00322D3D"/>
    <w:rsid w:val="00322F91"/>
    <w:rsid w:val="00323C41"/>
    <w:rsid w:val="0032548E"/>
    <w:rsid w:val="0032710D"/>
    <w:rsid w:val="00330A89"/>
    <w:rsid w:val="003318A1"/>
    <w:rsid w:val="00332B2E"/>
    <w:rsid w:val="00333213"/>
    <w:rsid w:val="003345CB"/>
    <w:rsid w:val="00336416"/>
    <w:rsid w:val="00341730"/>
    <w:rsid w:val="0034210C"/>
    <w:rsid w:val="003424A0"/>
    <w:rsid w:val="00342766"/>
    <w:rsid w:val="00343C6F"/>
    <w:rsid w:val="00344F0B"/>
    <w:rsid w:val="00345123"/>
    <w:rsid w:val="00345398"/>
    <w:rsid w:val="00345C01"/>
    <w:rsid w:val="003463F3"/>
    <w:rsid w:val="00346813"/>
    <w:rsid w:val="003476F1"/>
    <w:rsid w:val="00347ADF"/>
    <w:rsid w:val="00347CBE"/>
    <w:rsid w:val="0035179C"/>
    <w:rsid w:val="00352E38"/>
    <w:rsid w:val="00353686"/>
    <w:rsid w:val="00353B52"/>
    <w:rsid w:val="00353D9C"/>
    <w:rsid w:val="00354303"/>
    <w:rsid w:val="0035702E"/>
    <w:rsid w:val="003573CE"/>
    <w:rsid w:val="00357C1F"/>
    <w:rsid w:val="003610F8"/>
    <w:rsid w:val="00361915"/>
    <w:rsid w:val="00361C02"/>
    <w:rsid w:val="00361C46"/>
    <w:rsid w:val="00362486"/>
    <w:rsid w:val="00362C2E"/>
    <w:rsid w:val="00363954"/>
    <w:rsid w:val="00365B01"/>
    <w:rsid w:val="00366363"/>
    <w:rsid w:val="0036665C"/>
    <w:rsid w:val="00367B4D"/>
    <w:rsid w:val="003700E5"/>
    <w:rsid w:val="003701C7"/>
    <w:rsid w:val="00370DCA"/>
    <w:rsid w:val="00373484"/>
    <w:rsid w:val="00373BD7"/>
    <w:rsid w:val="00375A58"/>
    <w:rsid w:val="0037648F"/>
    <w:rsid w:val="00377714"/>
    <w:rsid w:val="00380466"/>
    <w:rsid w:val="00381A36"/>
    <w:rsid w:val="00381F8F"/>
    <w:rsid w:val="00384BE5"/>
    <w:rsid w:val="00385436"/>
    <w:rsid w:val="00386C31"/>
    <w:rsid w:val="00386EC0"/>
    <w:rsid w:val="00390671"/>
    <w:rsid w:val="00391816"/>
    <w:rsid w:val="00392A68"/>
    <w:rsid w:val="00396D55"/>
    <w:rsid w:val="00396F34"/>
    <w:rsid w:val="0039709D"/>
    <w:rsid w:val="003A01B4"/>
    <w:rsid w:val="003A271A"/>
    <w:rsid w:val="003A3601"/>
    <w:rsid w:val="003A4537"/>
    <w:rsid w:val="003A50A7"/>
    <w:rsid w:val="003A6267"/>
    <w:rsid w:val="003A6CC5"/>
    <w:rsid w:val="003A7381"/>
    <w:rsid w:val="003A76C4"/>
    <w:rsid w:val="003A78AF"/>
    <w:rsid w:val="003B1BAF"/>
    <w:rsid w:val="003B267B"/>
    <w:rsid w:val="003B3E0A"/>
    <w:rsid w:val="003B43B6"/>
    <w:rsid w:val="003B44C9"/>
    <w:rsid w:val="003B5598"/>
    <w:rsid w:val="003B628B"/>
    <w:rsid w:val="003B6524"/>
    <w:rsid w:val="003B7B48"/>
    <w:rsid w:val="003C0C4A"/>
    <w:rsid w:val="003C19B1"/>
    <w:rsid w:val="003C2800"/>
    <w:rsid w:val="003C2E1C"/>
    <w:rsid w:val="003C2FB4"/>
    <w:rsid w:val="003C33CC"/>
    <w:rsid w:val="003C3F31"/>
    <w:rsid w:val="003C55C1"/>
    <w:rsid w:val="003C5E52"/>
    <w:rsid w:val="003C6656"/>
    <w:rsid w:val="003C6D82"/>
    <w:rsid w:val="003C752A"/>
    <w:rsid w:val="003D0C9F"/>
    <w:rsid w:val="003D152F"/>
    <w:rsid w:val="003D2C5F"/>
    <w:rsid w:val="003D3537"/>
    <w:rsid w:val="003D571D"/>
    <w:rsid w:val="003D6931"/>
    <w:rsid w:val="003D6A98"/>
    <w:rsid w:val="003D71A9"/>
    <w:rsid w:val="003D7F1F"/>
    <w:rsid w:val="003E1410"/>
    <w:rsid w:val="003E43D3"/>
    <w:rsid w:val="003E46FE"/>
    <w:rsid w:val="003E5B3E"/>
    <w:rsid w:val="003E5DAC"/>
    <w:rsid w:val="003E5E0D"/>
    <w:rsid w:val="003F02F0"/>
    <w:rsid w:val="003F03FE"/>
    <w:rsid w:val="003F05CD"/>
    <w:rsid w:val="003F1574"/>
    <w:rsid w:val="003F31BD"/>
    <w:rsid w:val="003F3858"/>
    <w:rsid w:val="003F3D94"/>
    <w:rsid w:val="003F514B"/>
    <w:rsid w:val="003F61A5"/>
    <w:rsid w:val="003F74BA"/>
    <w:rsid w:val="003F7E97"/>
    <w:rsid w:val="00402A32"/>
    <w:rsid w:val="00402B52"/>
    <w:rsid w:val="00403110"/>
    <w:rsid w:val="004036EE"/>
    <w:rsid w:val="0040467C"/>
    <w:rsid w:val="0040540F"/>
    <w:rsid w:val="00406295"/>
    <w:rsid w:val="00406813"/>
    <w:rsid w:val="004068C7"/>
    <w:rsid w:val="004069F9"/>
    <w:rsid w:val="00410D90"/>
    <w:rsid w:val="00412172"/>
    <w:rsid w:val="004125D4"/>
    <w:rsid w:val="004127B9"/>
    <w:rsid w:val="004131E4"/>
    <w:rsid w:val="00414B03"/>
    <w:rsid w:val="004168DE"/>
    <w:rsid w:val="0041725B"/>
    <w:rsid w:val="00420CFE"/>
    <w:rsid w:val="00421A51"/>
    <w:rsid w:val="00423D8D"/>
    <w:rsid w:val="00424A6F"/>
    <w:rsid w:val="004252FD"/>
    <w:rsid w:val="0042588C"/>
    <w:rsid w:val="00425AAE"/>
    <w:rsid w:val="0042611E"/>
    <w:rsid w:val="004276F6"/>
    <w:rsid w:val="00427915"/>
    <w:rsid w:val="00427982"/>
    <w:rsid w:val="00430D04"/>
    <w:rsid w:val="0043109E"/>
    <w:rsid w:val="00433729"/>
    <w:rsid w:val="00433E50"/>
    <w:rsid w:val="004352A4"/>
    <w:rsid w:val="004352ED"/>
    <w:rsid w:val="0043553F"/>
    <w:rsid w:val="004357FE"/>
    <w:rsid w:val="00435EFA"/>
    <w:rsid w:val="0043711A"/>
    <w:rsid w:val="00437A39"/>
    <w:rsid w:val="00437A6F"/>
    <w:rsid w:val="00437F06"/>
    <w:rsid w:val="00440461"/>
    <w:rsid w:val="004406FC"/>
    <w:rsid w:val="00440F74"/>
    <w:rsid w:val="00441776"/>
    <w:rsid w:val="00442BF0"/>
    <w:rsid w:val="0044423C"/>
    <w:rsid w:val="00444B0E"/>
    <w:rsid w:val="00444C56"/>
    <w:rsid w:val="00445A72"/>
    <w:rsid w:val="004465F5"/>
    <w:rsid w:val="00446E5E"/>
    <w:rsid w:val="00447DB7"/>
    <w:rsid w:val="00450242"/>
    <w:rsid w:val="00450A02"/>
    <w:rsid w:val="004512E1"/>
    <w:rsid w:val="004522CA"/>
    <w:rsid w:val="004524C7"/>
    <w:rsid w:val="00452D86"/>
    <w:rsid w:val="00453380"/>
    <w:rsid w:val="00454DB0"/>
    <w:rsid w:val="00455469"/>
    <w:rsid w:val="0045707A"/>
    <w:rsid w:val="00457371"/>
    <w:rsid w:val="00457FC9"/>
    <w:rsid w:val="004601F8"/>
    <w:rsid w:val="00460D71"/>
    <w:rsid w:val="004617EF"/>
    <w:rsid w:val="00461D12"/>
    <w:rsid w:val="00461FCA"/>
    <w:rsid w:val="00462527"/>
    <w:rsid w:val="004637AF"/>
    <w:rsid w:val="00463CDB"/>
    <w:rsid w:val="0046503E"/>
    <w:rsid w:val="00466D90"/>
    <w:rsid w:val="00467F92"/>
    <w:rsid w:val="00470B21"/>
    <w:rsid w:val="00470D2F"/>
    <w:rsid w:val="004736AA"/>
    <w:rsid w:val="004739EF"/>
    <w:rsid w:val="00473B72"/>
    <w:rsid w:val="00473BC3"/>
    <w:rsid w:val="00473E23"/>
    <w:rsid w:val="00474DA1"/>
    <w:rsid w:val="004761FE"/>
    <w:rsid w:val="004762E0"/>
    <w:rsid w:val="00481685"/>
    <w:rsid w:val="00481B30"/>
    <w:rsid w:val="0048269D"/>
    <w:rsid w:val="0048406A"/>
    <w:rsid w:val="004844B4"/>
    <w:rsid w:val="00484B33"/>
    <w:rsid w:val="0048556B"/>
    <w:rsid w:val="004857EE"/>
    <w:rsid w:val="00486511"/>
    <w:rsid w:val="00487110"/>
    <w:rsid w:val="0048799A"/>
    <w:rsid w:val="004902A5"/>
    <w:rsid w:val="004923A1"/>
    <w:rsid w:val="00493E9C"/>
    <w:rsid w:val="004953AD"/>
    <w:rsid w:val="004A01A0"/>
    <w:rsid w:val="004A04DD"/>
    <w:rsid w:val="004A091B"/>
    <w:rsid w:val="004A18A7"/>
    <w:rsid w:val="004A25BD"/>
    <w:rsid w:val="004A2C9F"/>
    <w:rsid w:val="004A4E67"/>
    <w:rsid w:val="004A57F0"/>
    <w:rsid w:val="004A61C4"/>
    <w:rsid w:val="004A6B23"/>
    <w:rsid w:val="004A7879"/>
    <w:rsid w:val="004A787D"/>
    <w:rsid w:val="004B0238"/>
    <w:rsid w:val="004B088D"/>
    <w:rsid w:val="004B1AEC"/>
    <w:rsid w:val="004B29DD"/>
    <w:rsid w:val="004B3175"/>
    <w:rsid w:val="004B32E7"/>
    <w:rsid w:val="004B38E0"/>
    <w:rsid w:val="004B3944"/>
    <w:rsid w:val="004B3B13"/>
    <w:rsid w:val="004B3F77"/>
    <w:rsid w:val="004B517E"/>
    <w:rsid w:val="004B6DE4"/>
    <w:rsid w:val="004B6E19"/>
    <w:rsid w:val="004B6E3F"/>
    <w:rsid w:val="004B7C3D"/>
    <w:rsid w:val="004B7EB9"/>
    <w:rsid w:val="004C0C48"/>
    <w:rsid w:val="004C15C7"/>
    <w:rsid w:val="004C4359"/>
    <w:rsid w:val="004C50CA"/>
    <w:rsid w:val="004C7746"/>
    <w:rsid w:val="004D01FA"/>
    <w:rsid w:val="004D156E"/>
    <w:rsid w:val="004D16A8"/>
    <w:rsid w:val="004D1CFA"/>
    <w:rsid w:val="004D230E"/>
    <w:rsid w:val="004D2328"/>
    <w:rsid w:val="004D2C7C"/>
    <w:rsid w:val="004D32B3"/>
    <w:rsid w:val="004D3760"/>
    <w:rsid w:val="004D3FF9"/>
    <w:rsid w:val="004D6A30"/>
    <w:rsid w:val="004D7BA7"/>
    <w:rsid w:val="004E00CC"/>
    <w:rsid w:val="004E0C0E"/>
    <w:rsid w:val="004E1A81"/>
    <w:rsid w:val="004E2CB2"/>
    <w:rsid w:val="004E3E79"/>
    <w:rsid w:val="004E4BD8"/>
    <w:rsid w:val="004E56FF"/>
    <w:rsid w:val="004E5753"/>
    <w:rsid w:val="004E6FCB"/>
    <w:rsid w:val="004E7E74"/>
    <w:rsid w:val="004F1030"/>
    <w:rsid w:val="004F2EF8"/>
    <w:rsid w:val="004F39BD"/>
    <w:rsid w:val="004F3FA1"/>
    <w:rsid w:val="004F4DAC"/>
    <w:rsid w:val="004F5264"/>
    <w:rsid w:val="004F5BC2"/>
    <w:rsid w:val="004F6539"/>
    <w:rsid w:val="004F6855"/>
    <w:rsid w:val="004F7122"/>
    <w:rsid w:val="004F7BEC"/>
    <w:rsid w:val="0050031D"/>
    <w:rsid w:val="0050122F"/>
    <w:rsid w:val="00501E77"/>
    <w:rsid w:val="005026C3"/>
    <w:rsid w:val="00502702"/>
    <w:rsid w:val="005029EE"/>
    <w:rsid w:val="005035C0"/>
    <w:rsid w:val="005042B6"/>
    <w:rsid w:val="00504E88"/>
    <w:rsid w:val="00505277"/>
    <w:rsid w:val="005061F3"/>
    <w:rsid w:val="00506818"/>
    <w:rsid w:val="005073C2"/>
    <w:rsid w:val="0050760C"/>
    <w:rsid w:val="00510A64"/>
    <w:rsid w:val="00510A8E"/>
    <w:rsid w:val="005112B9"/>
    <w:rsid w:val="00511319"/>
    <w:rsid w:val="00512362"/>
    <w:rsid w:val="005135A9"/>
    <w:rsid w:val="00513613"/>
    <w:rsid w:val="00513B78"/>
    <w:rsid w:val="00514EF5"/>
    <w:rsid w:val="00516918"/>
    <w:rsid w:val="00521A31"/>
    <w:rsid w:val="005233F8"/>
    <w:rsid w:val="00523546"/>
    <w:rsid w:val="0052451C"/>
    <w:rsid w:val="0052495C"/>
    <w:rsid w:val="0052496D"/>
    <w:rsid w:val="00524D4B"/>
    <w:rsid w:val="00524DD7"/>
    <w:rsid w:val="00524F3D"/>
    <w:rsid w:val="005255DC"/>
    <w:rsid w:val="00525903"/>
    <w:rsid w:val="0052781D"/>
    <w:rsid w:val="00527D98"/>
    <w:rsid w:val="0053059D"/>
    <w:rsid w:val="00531AE9"/>
    <w:rsid w:val="0053351D"/>
    <w:rsid w:val="0053728B"/>
    <w:rsid w:val="005373BA"/>
    <w:rsid w:val="00537AE9"/>
    <w:rsid w:val="00540AAE"/>
    <w:rsid w:val="00541637"/>
    <w:rsid w:val="00541A15"/>
    <w:rsid w:val="00543136"/>
    <w:rsid w:val="0054339B"/>
    <w:rsid w:val="005433D0"/>
    <w:rsid w:val="005436FE"/>
    <w:rsid w:val="005443AA"/>
    <w:rsid w:val="00544AD1"/>
    <w:rsid w:val="00544E47"/>
    <w:rsid w:val="00545169"/>
    <w:rsid w:val="005456D8"/>
    <w:rsid w:val="005460BE"/>
    <w:rsid w:val="0054623D"/>
    <w:rsid w:val="005514A4"/>
    <w:rsid w:val="005518AA"/>
    <w:rsid w:val="00560AE9"/>
    <w:rsid w:val="00563D3C"/>
    <w:rsid w:val="005649BD"/>
    <w:rsid w:val="005654AD"/>
    <w:rsid w:val="00565F53"/>
    <w:rsid w:val="0056683A"/>
    <w:rsid w:val="005706E9"/>
    <w:rsid w:val="00570F35"/>
    <w:rsid w:val="00572C48"/>
    <w:rsid w:val="0057329A"/>
    <w:rsid w:val="0057335F"/>
    <w:rsid w:val="005734B9"/>
    <w:rsid w:val="005738DB"/>
    <w:rsid w:val="005744EC"/>
    <w:rsid w:val="00575773"/>
    <w:rsid w:val="00577574"/>
    <w:rsid w:val="00577B1A"/>
    <w:rsid w:val="005809C8"/>
    <w:rsid w:val="00580FF3"/>
    <w:rsid w:val="005812F3"/>
    <w:rsid w:val="005817E2"/>
    <w:rsid w:val="00581858"/>
    <w:rsid w:val="00581B2F"/>
    <w:rsid w:val="0058226D"/>
    <w:rsid w:val="00582FC7"/>
    <w:rsid w:val="00582FDE"/>
    <w:rsid w:val="00583318"/>
    <w:rsid w:val="00583537"/>
    <w:rsid w:val="00583932"/>
    <w:rsid w:val="00584BF5"/>
    <w:rsid w:val="0058586F"/>
    <w:rsid w:val="00585B3D"/>
    <w:rsid w:val="005862CA"/>
    <w:rsid w:val="0058747E"/>
    <w:rsid w:val="00587DD8"/>
    <w:rsid w:val="005900BA"/>
    <w:rsid w:val="00590D76"/>
    <w:rsid w:val="00591F55"/>
    <w:rsid w:val="00592A11"/>
    <w:rsid w:val="005947B3"/>
    <w:rsid w:val="00597B58"/>
    <w:rsid w:val="005A0806"/>
    <w:rsid w:val="005A12AE"/>
    <w:rsid w:val="005A2009"/>
    <w:rsid w:val="005A23F8"/>
    <w:rsid w:val="005A2DD0"/>
    <w:rsid w:val="005A4B38"/>
    <w:rsid w:val="005A4D00"/>
    <w:rsid w:val="005A585B"/>
    <w:rsid w:val="005A5FD7"/>
    <w:rsid w:val="005A7242"/>
    <w:rsid w:val="005A7CAE"/>
    <w:rsid w:val="005B0477"/>
    <w:rsid w:val="005B09B9"/>
    <w:rsid w:val="005B10B8"/>
    <w:rsid w:val="005B1AB0"/>
    <w:rsid w:val="005B2026"/>
    <w:rsid w:val="005B4686"/>
    <w:rsid w:val="005B4928"/>
    <w:rsid w:val="005B4A5A"/>
    <w:rsid w:val="005C11BF"/>
    <w:rsid w:val="005C1B9B"/>
    <w:rsid w:val="005C3138"/>
    <w:rsid w:val="005C3ADF"/>
    <w:rsid w:val="005C4FF1"/>
    <w:rsid w:val="005C500C"/>
    <w:rsid w:val="005C5431"/>
    <w:rsid w:val="005C61D0"/>
    <w:rsid w:val="005C6245"/>
    <w:rsid w:val="005C6700"/>
    <w:rsid w:val="005C694D"/>
    <w:rsid w:val="005C771B"/>
    <w:rsid w:val="005D000A"/>
    <w:rsid w:val="005D1027"/>
    <w:rsid w:val="005D4139"/>
    <w:rsid w:val="005D564F"/>
    <w:rsid w:val="005D5985"/>
    <w:rsid w:val="005E13AD"/>
    <w:rsid w:val="005E3700"/>
    <w:rsid w:val="005E4CAA"/>
    <w:rsid w:val="005E5270"/>
    <w:rsid w:val="005E6934"/>
    <w:rsid w:val="005E7DC2"/>
    <w:rsid w:val="005F02BE"/>
    <w:rsid w:val="005F11CA"/>
    <w:rsid w:val="005F1C9B"/>
    <w:rsid w:val="005F247A"/>
    <w:rsid w:val="005F484F"/>
    <w:rsid w:val="005F73D6"/>
    <w:rsid w:val="00600415"/>
    <w:rsid w:val="00600D0C"/>
    <w:rsid w:val="00601AD7"/>
    <w:rsid w:val="00601B63"/>
    <w:rsid w:val="00602138"/>
    <w:rsid w:val="006025EB"/>
    <w:rsid w:val="0060365A"/>
    <w:rsid w:val="006047BB"/>
    <w:rsid w:val="00605B35"/>
    <w:rsid w:val="0060783D"/>
    <w:rsid w:val="00607DA5"/>
    <w:rsid w:val="00607EA7"/>
    <w:rsid w:val="006103DD"/>
    <w:rsid w:val="00610AD7"/>
    <w:rsid w:val="00610BE9"/>
    <w:rsid w:val="0061135D"/>
    <w:rsid w:val="006148C2"/>
    <w:rsid w:val="0061624B"/>
    <w:rsid w:val="00620504"/>
    <w:rsid w:val="0062172D"/>
    <w:rsid w:val="0062302C"/>
    <w:rsid w:val="00624CCA"/>
    <w:rsid w:val="006252EB"/>
    <w:rsid w:val="006257E4"/>
    <w:rsid w:val="006260EF"/>
    <w:rsid w:val="00626AD2"/>
    <w:rsid w:val="00630299"/>
    <w:rsid w:val="00630EC9"/>
    <w:rsid w:val="00631044"/>
    <w:rsid w:val="00631360"/>
    <w:rsid w:val="00631CAF"/>
    <w:rsid w:val="00632424"/>
    <w:rsid w:val="00632A6B"/>
    <w:rsid w:val="006369BF"/>
    <w:rsid w:val="00636A52"/>
    <w:rsid w:val="00640710"/>
    <w:rsid w:val="00641182"/>
    <w:rsid w:val="00642B82"/>
    <w:rsid w:val="00642DE1"/>
    <w:rsid w:val="006430AF"/>
    <w:rsid w:val="00644FB1"/>
    <w:rsid w:val="00646424"/>
    <w:rsid w:val="0064677F"/>
    <w:rsid w:val="006474C3"/>
    <w:rsid w:val="00647655"/>
    <w:rsid w:val="006501B0"/>
    <w:rsid w:val="00650C73"/>
    <w:rsid w:val="006527C7"/>
    <w:rsid w:val="00652925"/>
    <w:rsid w:val="006529EA"/>
    <w:rsid w:val="00654C1B"/>
    <w:rsid w:val="0065510A"/>
    <w:rsid w:val="00655251"/>
    <w:rsid w:val="006558B9"/>
    <w:rsid w:val="00655946"/>
    <w:rsid w:val="006560FE"/>
    <w:rsid w:val="00662D82"/>
    <w:rsid w:val="00663078"/>
    <w:rsid w:val="00663540"/>
    <w:rsid w:val="00664A5A"/>
    <w:rsid w:val="0066675C"/>
    <w:rsid w:val="006668AF"/>
    <w:rsid w:val="00666CE8"/>
    <w:rsid w:val="00670B24"/>
    <w:rsid w:val="00670FDE"/>
    <w:rsid w:val="0067238D"/>
    <w:rsid w:val="00674151"/>
    <w:rsid w:val="00674465"/>
    <w:rsid w:val="00677563"/>
    <w:rsid w:val="00677E82"/>
    <w:rsid w:val="00680844"/>
    <w:rsid w:val="00680F38"/>
    <w:rsid w:val="006818C5"/>
    <w:rsid w:val="00683904"/>
    <w:rsid w:val="00684BBB"/>
    <w:rsid w:val="006870B5"/>
    <w:rsid w:val="006873AA"/>
    <w:rsid w:val="00690CA8"/>
    <w:rsid w:val="00690F41"/>
    <w:rsid w:val="00692CEC"/>
    <w:rsid w:val="00693605"/>
    <w:rsid w:val="00693C19"/>
    <w:rsid w:val="00696CEF"/>
    <w:rsid w:val="006972AC"/>
    <w:rsid w:val="006A0D92"/>
    <w:rsid w:val="006A13AF"/>
    <w:rsid w:val="006A19E4"/>
    <w:rsid w:val="006A1BBE"/>
    <w:rsid w:val="006A1FAD"/>
    <w:rsid w:val="006A3FA0"/>
    <w:rsid w:val="006A5229"/>
    <w:rsid w:val="006A5297"/>
    <w:rsid w:val="006A52F7"/>
    <w:rsid w:val="006A5E84"/>
    <w:rsid w:val="006A68EC"/>
    <w:rsid w:val="006A74C9"/>
    <w:rsid w:val="006A765F"/>
    <w:rsid w:val="006A7B0D"/>
    <w:rsid w:val="006A7E98"/>
    <w:rsid w:val="006B0A59"/>
    <w:rsid w:val="006B1282"/>
    <w:rsid w:val="006B1CEF"/>
    <w:rsid w:val="006B1EAC"/>
    <w:rsid w:val="006B2240"/>
    <w:rsid w:val="006B2FF0"/>
    <w:rsid w:val="006B3315"/>
    <w:rsid w:val="006B33DA"/>
    <w:rsid w:val="006B34FB"/>
    <w:rsid w:val="006B3C1A"/>
    <w:rsid w:val="006B4377"/>
    <w:rsid w:val="006B4EB8"/>
    <w:rsid w:val="006B5B7D"/>
    <w:rsid w:val="006B682F"/>
    <w:rsid w:val="006B702A"/>
    <w:rsid w:val="006B7A6C"/>
    <w:rsid w:val="006B7FA0"/>
    <w:rsid w:val="006C0100"/>
    <w:rsid w:val="006C02C4"/>
    <w:rsid w:val="006C0922"/>
    <w:rsid w:val="006C09FE"/>
    <w:rsid w:val="006C2CD3"/>
    <w:rsid w:val="006C3B42"/>
    <w:rsid w:val="006C44A7"/>
    <w:rsid w:val="006C5422"/>
    <w:rsid w:val="006C5C13"/>
    <w:rsid w:val="006C7329"/>
    <w:rsid w:val="006C7C2A"/>
    <w:rsid w:val="006D0C38"/>
    <w:rsid w:val="006D1B04"/>
    <w:rsid w:val="006D1BA8"/>
    <w:rsid w:val="006D2310"/>
    <w:rsid w:val="006D2931"/>
    <w:rsid w:val="006D4941"/>
    <w:rsid w:val="006D54B0"/>
    <w:rsid w:val="006D585D"/>
    <w:rsid w:val="006D5983"/>
    <w:rsid w:val="006D5C7C"/>
    <w:rsid w:val="006D5CC0"/>
    <w:rsid w:val="006D5DB9"/>
    <w:rsid w:val="006D5F10"/>
    <w:rsid w:val="006D674F"/>
    <w:rsid w:val="006D6D9D"/>
    <w:rsid w:val="006D7348"/>
    <w:rsid w:val="006D7BDD"/>
    <w:rsid w:val="006D7CEF"/>
    <w:rsid w:val="006E0DAB"/>
    <w:rsid w:val="006E25AE"/>
    <w:rsid w:val="006E27BF"/>
    <w:rsid w:val="006E3660"/>
    <w:rsid w:val="006E3CF8"/>
    <w:rsid w:val="006E5396"/>
    <w:rsid w:val="006F1C72"/>
    <w:rsid w:val="006F1FEE"/>
    <w:rsid w:val="006F2999"/>
    <w:rsid w:val="006F2D62"/>
    <w:rsid w:val="006F318C"/>
    <w:rsid w:val="006F31AA"/>
    <w:rsid w:val="006F3BCB"/>
    <w:rsid w:val="006F3BF3"/>
    <w:rsid w:val="006F459A"/>
    <w:rsid w:val="006F45E2"/>
    <w:rsid w:val="006F4633"/>
    <w:rsid w:val="006F5A6A"/>
    <w:rsid w:val="006F6DB9"/>
    <w:rsid w:val="00700175"/>
    <w:rsid w:val="007002B4"/>
    <w:rsid w:val="00700A52"/>
    <w:rsid w:val="00701E5F"/>
    <w:rsid w:val="00703CAD"/>
    <w:rsid w:val="00703DFF"/>
    <w:rsid w:val="00704B25"/>
    <w:rsid w:val="007055E0"/>
    <w:rsid w:val="0070722E"/>
    <w:rsid w:val="00707614"/>
    <w:rsid w:val="00707620"/>
    <w:rsid w:val="0071012C"/>
    <w:rsid w:val="00711D53"/>
    <w:rsid w:val="00712336"/>
    <w:rsid w:val="007135B7"/>
    <w:rsid w:val="00713B18"/>
    <w:rsid w:val="007146E3"/>
    <w:rsid w:val="00714A78"/>
    <w:rsid w:val="00715143"/>
    <w:rsid w:val="00715537"/>
    <w:rsid w:val="00715F0D"/>
    <w:rsid w:val="00716E11"/>
    <w:rsid w:val="00717134"/>
    <w:rsid w:val="007172AE"/>
    <w:rsid w:val="00717F25"/>
    <w:rsid w:val="0071E4AF"/>
    <w:rsid w:val="007210CC"/>
    <w:rsid w:val="00722B94"/>
    <w:rsid w:val="00724212"/>
    <w:rsid w:val="0072453F"/>
    <w:rsid w:val="00725A1A"/>
    <w:rsid w:val="00725B8B"/>
    <w:rsid w:val="00725C91"/>
    <w:rsid w:val="007260A6"/>
    <w:rsid w:val="007268FA"/>
    <w:rsid w:val="00726EFD"/>
    <w:rsid w:val="0072740B"/>
    <w:rsid w:val="00727854"/>
    <w:rsid w:val="00730A58"/>
    <w:rsid w:val="00730AB7"/>
    <w:rsid w:val="0073102C"/>
    <w:rsid w:val="00732466"/>
    <w:rsid w:val="00732989"/>
    <w:rsid w:val="00732FCF"/>
    <w:rsid w:val="0073301F"/>
    <w:rsid w:val="0073389D"/>
    <w:rsid w:val="007338A3"/>
    <w:rsid w:val="0073438F"/>
    <w:rsid w:val="00734CC9"/>
    <w:rsid w:val="00734D96"/>
    <w:rsid w:val="0073572E"/>
    <w:rsid w:val="00737AAD"/>
    <w:rsid w:val="00740769"/>
    <w:rsid w:val="00740C98"/>
    <w:rsid w:val="00740E6E"/>
    <w:rsid w:val="00743279"/>
    <w:rsid w:val="0074365F"/>
    <w:rsid w:val="00743B1F"/>
    <w:rsid w:val="00744832"/>
    <w:rsid w:val="00745CCF"/>
    <w:rsid w:val="00745CDA"/>
    <w:rsid w:val="007476F1"/>
    <w:rsid w:val="00747A71"/>
    <w:rsid w:val="00750AE7"/>
    <w:rsid w:val="00752043"/>
    <w:rsid w:val="00753F37"/>
    <w:rsid w:val="007553B4"/>
    <w:rsid w:val="00755D51"/>
    <w:rsid w:val="007567D9"/>
    <w:rsid w:val="007612FF"/>
    <w:rsid w:val="007614DF"/>
    <w:rsid w:val="007618D8"/>
    <w:rsid w:val="00762A35"/>
    <w:rsid w:val="00762B05"/>
    <w:rsid w:val="00763E98"/>
    <w:rsid w:val="00765B35"/>
    <w:rsid w:val="00766707"/>
    <w:rsid w:val="0076720D"/>
    <w:rsid w:val="00770312"/>
    <w:rsid w:val="0077036B"/>
    <w:rsid w:val="00772896"/>
    <w:rsid w:val="00773EEA"/>
    <w:rsid w:val="00774FA0"/>
    <w:rsid w:val="00775690"/>
    <w:rsid w:val="00776605"/>
    <w:rsid w:val="00776BB5"/>
    <w:rsid w:val="00777104"/>
    <w:rsid w:val="00780889"/>
    <w:rsid w:val="00780CD2"/>
    <w:rsid w:val="00783457"/>
    <w:rsid w:val="00783BE4"/>
    <w:rsid w:val="00783D53"/>
    <w:rsid w:val="00783E31"/>
    <w:rsid w:val="007842DA"/>
    <w:rsid w:val="0078487B"/>
    <w:rsid w:val="00785220"/>
    <w:rsid w:val="00787D6F"/>
    <w:rsid w:val="0079003D"/>
    <w:rsid w:val="0079012D"/>
    <w:rsid w:val="0079127F"/>
    <w:rsid w:val="007922DF"/>
    <w:rsid w:val="0079280E"/>
    <w:rsid w:val="007929DE"/>
    <w:rsid w:val="00794348"/>
    <w:rsid w:val="00795992"/>
    <w:rsid w:val="00796706"/>
    <w:rsid w:val="007A13CB"/>
    <w:rsid w:val="007A18D5"/>
    <w:rsid w:val="007A3DD5"/>
    <w:rsid w:val="007A3F77"/>
    <w:rsid w:val="007A455B"/>
    <w:rsid w:val="007A55F3"/>
    <w:rsid w:val="007A58C3"/>
    <w:rsid w:val="007A5AA4"/>
    <w:rsid w:val="007A676C"/>
    <w:rsid w:val="007A7501"/>
    <w:rsid w:val="007B0488"/>
    <w:rsid w:val="007B0491"/>
    <w:rsid w:val="007B119C"/>
    <w:rsid w:val="007B122C"/>
    <w:rsid w:val="007B2400"/>
    <w:rsid w:val="007B3835"/>
    <w:rsid w:val="007B399A"/>
    <w:rsid w:val="007B40AF"/>
    <w:rsid w:val="007B483B"/>
    <w:rsid w:val="007B531F"/>
    <w:rsid w:val="007B5B1D"/>
    <w:rsid w:val="007B5FCE"/>
    <w:rsid w:val="007B64BE"/>
    <w:rsid w:val="007B7B20"/>
    <w:rsid w:val="007C1421"/>
    <w:rsid w:val="007C27B9"/>
    <w:rsid w:val="007C2BF0"/>
    <w:rsid w:val="007C2EEE"/>
    <w:rsid w:val="007C2EFA"/>
    <w:rsid w:val="007C3269"/>
    <w:rsid w:val="007C3A03"/>
    <w:rsid w:val="007C56CB"/>
    <w:rsid w:val="007D000A"/>
    <w:rsid w:val="007D02BD"/>
    <w:rsid w:val="007D0C21"/>
    <w:rsid w:val="007D107D"/>
    <w:rsid w:val="007D157E"/>
    <w:rsid w:val="007D1E11"/>
    <w:rsid w:val="007D1F5B"/>
    <w:rsid w:val="007D225F"/>
    <w:rsid w:val="007D3106"/>
    <w:rsid w:val="007D447A"/>
    <w:rsid w:val="007D52CF"/>
    <w:rsid w:val="007D663B"/>
    <w:rsid w:val="007D66E7"/>
    <w:rsid w:val="007D68AB"/>
    <w:rsid w:val="007D70BF"/>
    <w:rsid w:val="007D739E"/>
    <w:rsid w:val="007D76DB"/>
    <w:rsid w:val="007D7DFD"/>
    <w:rsid w:val="007E14E5"/>
    <w:rsid w:val="007E193B"/>
    <w:rsid w:val="007E3834"/>
    <w:rsid w:val="007E49F2"/>
    <w:rsid w:val="007E4A04"/>
    <w:rsid w:val="007E53E3"/>
    <w:rsid w:val="007E68D4"/>
    <w:rsid w:val="007E744F"/>
    <w:rsid w:val="007E7DF6"/>
    <w:rsid w:val="007F18B7"/>
    <w:rsid w:val="007F22CF"/>
    <w:rsid w:val="007F3E1B"/>
    <w:rsid w:val="007F489F"/>
    <w:rsid w:val="007F50BB"/>
    <w:rsid w:val="007F525D"/>
    <w:rsid w:val="007F64CA"/>
    <w:rsid w:val="007F6678"/>
    <w:rsid w:val="007F67D8"/>
    <w:rsid w:val="007F6AA2"/>
    <w:rsid w:val="0080082A"/>
    <w:rsid w:val="00800DDA"/>
    <w:rsid w:val="008015F6"/>
    <w:rsid w:val="00802F73"/>
    <w:rsid w:val="00804D81"/>
    <w:rsid w:val="00805655"/>
    <w:rsid w:val="00805DBE"/>
    <w:rsid w:val="00806320"/>
    <w:rsid w:val="00806D60"/>
    <w:rsid w:val="00807D95"/>
    <w:rsid w:val="00810FB9"/>
    <w:rsid w:val="0081140A"/>
    <w:rsid w:val="00811741"/>
    <w:rsid w:val="00811C40"/>
    <w:rsid w:val="0081324D"/>
    <w:rsid w:val="008146C7"/>
    <w:rsid w:val="008154DE"/>
    <w:rsid w:val="0081583D"/>
    <w:rsid w:val="00815FFD"/>
    <w:rsid w:val="0081668B"/>
    <w:rsid w:val="00816E7D"/>
    <w:rsid w:val="008173FF"/>
    <w:rsid w:val="008179CC"/>
    <w:rsid w:val="00817A29"/>
    <w:rsid w:val="00821A9C"/>
    <w:rsid w:val="0082409A"/>
    <w:rsid w:val="008268A7"/>
    <w:rsid w:val="00826F54"/>
    <w:rsid w:val="00831727"/>
    <w:rsid w:val="008322C1"/>
    <w:rsid w:val="0083256F"/>
    <w:rsid w:val="008325BC"/>
    <w:rsid w:val="0083372A"/>
    <w:rsid w:val="008359DA"/>
    <w:rsid w:val="00836057"/>
    <w:rsid w:val="008372E1"/>
    <w:rsid w:val="008407FF"/>
    <w:rsid w:val="00840A23"/>
    <w:rsid w:val="0084231E"/>
    <w:rsid w:val="00842CA9"/>
    <w:rsid w:val="00843C10"/>
    <w:rsid w:val="008446D5"/>
    <w:rsid w:val="00845686"/>
    <w:rsid w:val="008459DF"/>
    <w:rsid w:val="00845E19"/>
    <w:rsid w:val="00846DEB"/>
    <w:rsid w:val="00846E7C"/>
    <w:rsid w:val="008524B3"/>
    <w:rsid w:val="00852DBF"/>
    <w:rsid w:val="00853AA6"/>
    <w:rsid w:val="00854139"/>
    <w:rsid w:val="00854741"/>
    <w:rsid w:val="00854C85"/>
    <w:rsid w:val="00854E7D"/>
    <w:rsid w:val="008554D4"/>
    <w:rsid w:val="0085590D"/>
    <w:rsid w:val="00855D88"/>
    <w:rsid w:val="00855F40"/>
    <w:rsid w:val="00856828"/>
    <w:rsid w:val="008576A2"/>
    <w:rsid w:val="00857907"/>
    <w:rsid w:val="00857CE8"/>
    <w:rsid w:val="00861DB1"/>
    <w:rsid w:val="00863A2D"/>
    <w:rsid w:val="00864BA9"/>
    <w:rsid w:val="008653A6"/>
    <w:rsid w:val="00865C23"/>
    <w:rsid w:val="0086691F"/>
    <w:rsid w:val="00866C02"/>
    <w:rsid w:val="00867213"/>
    <w:rsid w:val="008700D1"/>
    <w:rsid w:val="008703CF"/>
    <w:rsid w:val="008706D0"/>
    <w:rsid w:val="008712AD"/>
    <w:rsid w:val="00871E60"/>
    <w:rsid w:val="00872E9D"/>
    <w:rsid w:val="00873B38"/>
    <w:rsid w:val="00876550"/>
    <w:rsid w:val="00877196"/>
    <w:rsid w:val="00880FF7"/>
    <w:rsid w:val="00882914"/>
    <w:rsid w:val="008841F0"/>
    <w:rsid w:val="00884A1B"/>
    <w:rsid w:val="00884E5F"/>
    <w:rsid w:val="008868DC"/>
    <w:rsid w:val="00887098"/>
    <w:rsid w:val="00887D3C"/>
    <w:rsid w:val="00890744"/>
    <w:rsid w:val="008909A9"/>
    <w:rsid w:val="00890E46"/>
    <w:rsid w:val="00891C87"/>
    <w:rsid w:val="00892021"/>
    <w:rsid w:val="0089427A"/>
    <w:rsid w:val="00894340"/>
    <w:rsid w:val="00895F99"/>
    <w:rsid w:val="00896BE3"/>
    <w:rsid w:val="008970C1"/>
    <w:rsid w:val="0089722B"/>
    <w:rsid w:val="00897DA3"/>
    <w:rsid w:val="008A090E"/>
    <w:rsid w:val="008A0FDC"/>
    <w:rsid w:val="008A23EF"/>
    <w:rsid w:val="008A2AEF"/>
    <w:rsid w:val="008A2E80"/>
    <w:rsid w:val="008A3F5B"/>
    <w:rsid w:val="008A3F82"/>
    <w:rsid w:val="008A4825"/>
    <w:rsid w:val="008A5213"/>
    <w:rsid w:val="008A5F6C"/>
    <w:rsid w:val="008A6598"/>
    <w:rsid w:val="008A733D"/>
    <w:rsid w:val="008A7E3C"/>
    <w:rsid w:val="008B1A92"/>
    <w:rsid w:val="008B239B"/>
    <w:rsid w:val="008B24B6"/>
    <w:rsid w:val="008B2812"/>
    <w:rsid w:val="008B335B"/>
    <w:rsid w:val="008B3442"/>
    <w:rsid w:val="008B3C8F"/>
    <w:rsid w:val="008B5175"/>
    <w:rsid w:val="008B584B"/>
    <w:rsid w:val="008B5DF2"/>
    <w:rsid w:val="008B6AD6"/>
    <w:rsid w:val="008B6F81"/>
    <w:rsid w:val="008B7167"/>
    <w:rsid w:val="008C128F"/>
    <w:rsid w:val="008C1900"/>
    <w:rsid w:val="008C193D"/>
    <w:rsid w:val="008C1B6D"/>
    <w:rsid w:val="008C2B7D"/>
    <w:rsid w:val="008C30C6"/>
    <w:rsid w:val="008C3400"/>
    <w:rsid w:val="008C4846"/>
    <w:rsid w:val="008C4E51"/>
    <w:rsid w:val="008C56C0"/>
    <w:rsid w:val="008C5EED"/>
    <w:rsid w:val="008C6F92"/>
    <w:rsid w:val="008C7677"/>
    <w:rsid w:val="008C7C1F"/>
    <w:rsid w:val="008C7D7E"/>
    <w:rsid w:val="008D057E"/>
    <w:rsid w:val="008D07EA"/>
    <w:rsid w:val="008D30A3"/>
    <w:rsid w:val="008D3D15"/>
    <w:rsid w:val="008D40B9"/>
    <w:rsid w:val="008D6096"/>
    <w:rsid w:val="008D64BA"/>
    <w:rsid w:val="008D7103"/>
    <w:rsid w:val="008E1C90"/>
    <w:rsid w:val="008E2296"/>
    <w:rsid w:val="008E2DC5"/>
    <w:rsid w:val="008E36A4"/>
    <w:rsid w:val="008E3B46"/>
    <w:rsid w:val="008E53E8"/>
    <w:rsid w:val="008E5770"/>
    <w:rsid w:val="008E5A76"/>
    <w:rsid w:val="008E613D"/>
    <w:rsid w:val="008E72F6"/>
    <w:rsid w:val="008E73B3"/>
    <w:rsid w:val="008F08BA"/>
    <w:rsid w:val="008F0B87"/>
    <w:rsid w:val="008F1884"/>
    <w:rsid w:val="008F1DF8"/>
    <w:rsid w:val="008F2100"/>
    <w:rsid w:val="008F3B78"/>
    <w:rsid w:val="008F3E06"/>
    <w:rsid w:val="008F4090"/>
    <w:rsid w:val="008F511E"/>
    <w:rsid w:val="008F544D"/>
    <w:rsid w:val="008F5519"/>
    <w:rsid w:val="008F5566"/>
    <w:rsid w:val="008F577A"/>
    <w:rsid w:val="008F5C7D"/>
    <w:rsid w:val="008F67AB"/>
    <w:rsid w:val="008F6979"/>
    <w:rsid w:val="008F6EDD"/>
    <w:rsid w:val="008F7017"/>
    <w:rsid w:val="008F711A"/>
    <w:rsid w:val="008F774C"/>
    <w:rsid w:val="00903B4B"/>
    <w:rsid w:val="00903F20"/>
    <w:rsid w:val="009040B5"/>
    <w:rsid w:val="009049E0"/>
    <w:rsid w:val="00904AE4"/>
    <w:rsid w:val="009053D0"/>
    <w:rsid w:val="00906948"/>
    <w:rsid w:val="0090719A"/>
    <w:rsid w:val="0091063A"/>
    <w:rsid w:val="00910D82"/>
    <w:rsid w:val="00911A49"/>
    <w:rsid w:val="009125A1"/>
    <w:rsid w:val="00913CB9"/>
    <w:rsid w:val="00914836"/>
    <w:rsid w:val="00914E8B"/>
    <w:rsid w:val="00915031"/>
    <w:rsid w:val="0091520B"/>
    <w:rsid w:val="009163C5"/>
    <w:rsid w:val="0091652D"/>
    <w:rsid w:val="0092027D"/>
    <w:rsid w:val="009203DE"/>
    <w:rsid w:val="00920494"/>
    <w:rsid w:val="00920C12"/>
    <w:rsid w:val="00922FC1"/>
    <w:rsid w:val="0092372D"/>
    <w:rsid w:val="00923D35"/>
    <w:rsid w:val="009247DD"/>
    <w:rsid w:val="00925461"/>
    <w:rsid w:val="00925B3C"/>
    <w:rsid w:val="0092657E"/>
    <w:rsid w:val="00927DAF"/>
    <w:rsid w:val="00931F05"/>
    <w:rsid w:val="00933DBE"/>
    <w:rsid w:val="00934398"/>
    <w:rsid w:val="00934C9F"/>
    <w:rsid w:val="00935DEE"/>
    <w:rsid w:val="0094103E"/>
    <w:rsid w:val="0094257D"/>
    <w:rsid w:val="009427AF"/>
    <w:rsid w:val="00943E8A"/>
    <w:rsid w:val="00944134"/>
    <w:rsid w:val="00944907"/>
    <w:rsid w:val="009449C0"/>
    <w:rsid w:val="009451C9"/>
    <w:rsid w:val="00945563"/>
    <w:rsid w:val="009462BA"/>
    <w:rsid w:val="009462C2"/>
    <w:rsid w:val="00951A57"/>
    <w:rsid w:val="00952C04"/>
    <w:rsid w:val="00953011"/>
    <w:rsid w:val="009530E7"/>
    <w:rsid w:val="0095324A"/>
    <w:rsid w:val="00953A7D"/>
    <w:rsid w:val="00956458"/>
    <w:rsid w:val="009603C0"/>
    <w:rsid w:val="00960C4E"/>
    <w:rsid w:val="00961277"/>
    <w:rsid w:val="00963AF5"/>
    <w:rsid w:val="00966E3C"/>
    <w:rsid w:val="00967996"/>
    <w:rsid w:val="0097053F"/>
    <w:rsid w:val="00971625"/>
    <w:rsid w:val="009717BC"/>
    <w:rsid w:val="00974FBD"/>
    <w:rsid w:val="009754A7"/>
    <w:rsid w:val="0097686D"/>
    <w:rsid w:val="009769F2"/>
    <w:rsid w:val="00977474"/>
    <w:rsid w:val="00980CFE"/>
    <w:rsid w:val="009822F7"/>
    <w:rsid w:val="009852E9"/>
    <w:rsid w:val="0098640A"/>
    <w:rsid w:val="00986724"/>
    <w:rsid w:val="00987515"/>
    <w:rsid w:val="009876BB"/>
    <w:rsid w:val="00990328"/>
    <w:rsid w:val="00990831"/>
    <w:rsid w:val="0099130A"/>
    <w:rsid w:val="00991CE2"/>
    <w:rsid w:val="00994553"/>
    <w:rsid w:val="00995FCF"/>
    <w:rsid w:val="009974F8"/>
    <w:rsid w:val="00997702"/>
    <w:rsid w:val="009A1125"/>
    <w:rsid w:val="009A14C1"/>
    <w:rsid w:val="009A20D9"/>
    <w:rsid w:val="009A31B4"/>
    <w:rsid w:val="009A40C1"/>
    <w:rsid w:val="009A5234"/>
    <w:rsid w:val="009A5F32"/>
    <w:rsid w:val="009A61EB"/>
    <w:rsid w:val="009A647C"/>
    <w:rsid w:val="009A7141"/>
    <w:rsid w:val="009A7569"/>
    <w:rsid w:val="009B15AE"/>
    <w:rsid w:val="009B1AA6"/>
    <w:rsid w:val="009B347C"/>
    <w:rsid w:val="009B4976"/>
    <w:rsid w:val="009B5FC4"/>
    <w:rsid w:val="009B60FA"/>
    <w:rsid w:val="009B62FF"/>
    <w:rsid w:val="009B7999"/>
    <w:rsid w:val="009C009E"/>
    <w:rsid w:val="009C0E76"/>
    <w:rsid w:val="009C174C"/>
    <w:rsid w:val="009C1910"/>
    <w:rsid w:val="009C324C"/>
    <w:rsid w:val="009C4A9A"/>
    <w:rsid w:val="009C4DD6"/>
    <w:rsid w:val="009C4F06"/>
    <w:rsid w:val="009C5F32"/>
    <w:rsid w:val="009C7733"/>
    <w:rsid w:val="009D069F"/>
    <w:rsid w:val="009D1298"/>
    <w:rsid w:val="009D1C1F"/>
    <w:rsid w:val="009D322C"/>
    <w:rsid w:val="009D3873"/>
    <w:rsid w:val="009D3B7D"/>
    <w:rsid w:val="009D5478"/>
    <w:rsid w:val="009D5C25"/>
    <w:rsid w:val="009D63DF"/>
    <w:rsid w:val="009D6AA5"/>
    <w:rsid w:val="009D72D9"/>
    <w:rsid w:val="009D788C"/>
    <w:rsid w:val="009E25A2"/>
    <w:rsid w:val="009E2DCC"/>
    <w:rsid w:val="009E332D"/>
    <w:rsid w:val="009E3404"/>
    <w:rsid w:val="009E366A"/>
    <w:rsid w:val="009E55FA"/>
    <w:rsid w:val="009E5BA1"/>
    <w:rsid w:val="009E6445"/>
    <w:rsid w:val="009E6DC6"/>
    <w:rsid w:val="009E784C"/>
    <w:rsid w:val="009F070D"/>
    <w:rsid w:val="009F1BC5"/>
    <w:rsid w:val="009F24B8"/>
    <w:rsid w:val="009F262B"/>
    <w:rsid w:val="009F29CE"/>
    <w:rsid w:val="009F29DA"/>
    <w:rsid w:val="009F29F4"/>
    <w:rsid w:val="009F31E2"/>
    <w:rsid w:val="009F36D9"/>
    <w:rsid w:val="009F3975"/>
    <w:rsid w:val="009F39EB"/>
    <w:rsid w:val="009F4DE3"/>
    <w:rsid w:val="009F5B17"/>
    <w:rsid w:val="009F5E22"/>
    <w:rsid w:val="009F5F42"/>
    <w:rsid w:val="009F66AB"/>
    <w:rsid w:val="009F6E20"/>
    <w:rsid w:val="00A00109"/>
    <w:rsid w:val="00A0057B"/>
    <w:rsid w:val="00A01AB9"/>
    <w:rsid w:val="00A01B9F"/>
    <w:rsid w:val="00A01E18"/>
    <w:rsid w:val="00A036F8"/>
    <w:rsid w:val="00A077EC"/>
    <w:rsid w:val="00A10FBC"/>
    <w:rsid w:val="00A128AA"/>
    <w:rsid w:val="00A12BA7"/>
    <w:rsid w:val="00A13334"/>
    <w:rsid w:val="00A13D1A"/>
    <w:rsid w:val="00A141F3"/>
    <w:rsid w:val="00A14B86"/>
    <w:rsid w:val="00A15003"/>
    <w:rsid w:val="00A1507F"/>
    <w:rsid w:val="00A1649C"/>
    <w:rsid w:val="00A16A8A"/>
    <w:rsid w:val="00A17CA3"/>
    <w:rsid w:val="00A23180"/>
    <w:rsid w:val="00A2340C"/>
    <w:rsid w:val="00A245DE"/>
    <w:rsid w:val="00A24BF8"/>
    <w:rsid w:val="00A257AD"/>
    <w:rsid w:val="00A25ABE"/>
    <w:rsid w:val="00A26991"/>
    <w:rsid w:val="00A2735C"/>
    <w:rsid w:val="00A311BF"/>
    <w:rsid w:val="00A321CD"/>
    <w:rsid w:val="00A34890"/>
    <w:rsid w:val="00A35B79"/>
    <w:rsid w:val="00A35C6F"/>
    <w:rsid w:val="00A367B8"/>
    <w:rsid w:val="00A36C42"/>
    <w:rsid w:val="00A37D6F"/>
    <w:rsid w:val="00A400B0"/>
    <w:rsid w:val="00A40AC5"/>
    <w:rsid w:val="00A40D6A"/>
    <w:rsid w:val="00A4102A"/>
    <w:rsid w:val="00A416D9"/>
    <w:rsid w:val="00A424D9"/>
    <w:rsid w:val="00A43D5B"/>
    <w:rsid w:val="00A4452C"/>
    <w:rsid w:val="00A44DCD"/>
    <w:rsid w:val="00A44DDF"/>
    <w:rsid w:val="00A452FE"/>
    <w:rsid w:val="00A459DA"/>
    <w:rsid w:val="00A45B2E"/>
    <w:rsid w:val="00A5084E"/>
    <w:rsid w:val="00A50E66"/>
    <w:rsid w:val="00A51BF2"/>
    <w:rsid w:val="00A52235"/>
    <w:rsid w:val="00A52ACA"/>
    <w:rsid w:val="00A53A1C"/>
    <w:rsid w:val="00A54E8C"/>
    <w:rsid w:val="00A55FF6"/>
    <w:rsid w:val="00A56461"/>
    <w:rsid w:val="00A566E7"/>
    <w:rsid w:val="00A57224"/>
    <w:rsid w:val="00A613A1"/>
    <w:rsid w:val="00A61CEF"/>
    <w:rsid w:val="00A633D8"/>
    <w:rsid w:val="00A639F8"/>
    <w:rsid w:val="00A63A6F"/>
    <w:rsid w:val="00A6690C"/>
    <w:rsid w:val="00A66C7E"/>
    <w:rsid w:val="00A66FED"/>
    <w:rsid w:val="00A67A58"/>
    <w:rsid w:val="00A67C58"/>
    <w:rsid w:val="00A70343"/>
    <w:rsid w:val="00A70ED7"/>
    <w:rsid w:val="00A726C2"/>
    <w:rsid w:val="00A72E0A"/>
    <w:rsid w:val="00A742DA"/>
    <w:rsid w:val="00A750C0"/>
    <w:rsid w:val="00A75D67"/>
    <w:rsid w:val="00A77C41"/>
    <w:rsid w:val="00A809C6"/>
    <w:rsid w:val="00A81E6B"/>
    <w:rsid w:val="00A829E1"/>
    <w:rsid w:val="00A833F1"/>
    <w:rsid w:val="00A850F7"/>
    <w:rsid w:val="00A8534C"/>
    <w:rsid w:val="00A85935"/>
    <w:rsid w:val="00A860ED"/>
    <w:rsid w:val="00A866D8"/>
    <w:rsid w:val="00A87B7E"/>
    <w:rsid w:val="00A91451"/>
    <w:rsid w:val="00A916D6"/>
    <w:rsid w:val="00A924BF"/>
    <w:rsid w:val="00A924D8"/>
    <w:rsid w:val="00A946A2"/>
    <w:rsid w:val="00A94B4F"/>
    <w:rsid w:val="00A96041"/>
    <w:rsid w:val="00A96388"/>
    <w:rsid w:val="00A96D92"/>
    <w:rsid w:val="00AA0311"/>
    <w:rsid w:val="00AA1191"/>
    <w:rsid w:val="00AA14A9"/>
    <w:rsid w:val="00AA1617"/>
    <w:rsid w:val="00AA24C3"/>
    <w:rsid w:val="00AA3218"/>
    <w:rsid w:val="00AA3C0C"/>
    <w:rsid w:val="00AA3CAA"/>
    <w:rsid w:val="00AA4D3B"/>
    <w:rsid w:val="00AA517D"/>
    <w:rsid w:val="00AA537B"/>
    <w:rsid w:val="00AA5D31"/>
    <w:rsid w:val="00AA5F34"/>
    <w:rsid w:val="00AB24E2"/>
    <w:rsid w:val="00AB5574"/>
    <w:rsid w:val="00AB58CB"/>
    <w:rsid w:val="00AB67DC"/>
    <w:rsid w:val="00AB6BB4"/>
    <w:rsid w:val="00AB7712"/>
    <w:rsid w:val="00AB7A7D"/>
    <w:rsid w:val="00AB7AA3"/>
    <w:rsid w:val="00AC1205"/>
    <w:rsid w:val="00AC1418"/>
    <w:rsid w:val="00AC1E89"/>
    <w:rsid w:val="00AC29DB"/>
    <w:rsid w:val="00AC43A0"/>
    <w:rsid w:val="00AC5817"/>
    <w:rsid w:val="00AC5868"/>
    <w:rsid w:val="00AC5C9B"/>
    <w:rsid w:val="00AD0511"/>
    <w:rsid w:val="00AD0741"/>
    <w:rsid w:val="00AD0B0D"/>
    <w:rsid w:val="00AD1003"/>
    <w:rsid w:val="00AD1C68"/>
    <w:rsid w:val="00AD33AC"/>
    <w:rsid w:val="00AD3714"/>
    <w:rsid w:val="00AD3A06"/>
    <w:rsid w:val="00AD40D4"/>
    <w:rsid w:val="00AD4563"/>
    <w:rsid w:val="00AD4B58"/>
    <w:rsid w:val="00AD5B64"/>
    <w:rsid w:val="00AD7771"/>
    <w:rsid w:val="00AD7CD5"/>
    <w:rsid w:val="00AE1187"/>
    <w:rsid w:val="00AE17E1"/>
    <w:rsid w:val="00AE3663"/>
    <w:rsid w:val="00AE3981"/>
    <w:rsid w:val="00AE460B"/>
    <w:rsid w:val="00AE484A"/>
    <w:rsid w:val="00AE4A23"/>
    <w:rsid w:val="00AE5591"/>
    <w:rsid w:val="00AE6505"/>
    <w:rsid w:val="00AE6918"/>
    <w:rsid w:val="00AF0722"/>
    <w:rsid w:val="00AF0D1B"/>
    <w:rsid w:val="00AF0F97"/>
    <w:rsid w:val="00AF13AA"/>
    <w:rsid w:val="00AF1679"/>
    <w:rsid w:val="00AF197A"/>
    <w:rsid w:val="00AF3AD1"/>
    <w:rsid w:val="00AF484B"/>
    <w:rsid w:val="00AF5951"/>
    <w:rsid w:val="00AF646C"/>
    <w:rsid w:val="00AF73F0"/>
    <w:rsid w:val="00AF7438"/>
    <w:rsid w:val="00B00D48"/>
    <w:rsid w:val="00B017F2"/>
    <w:rsid w:val="00B02469"/>
    <w:rsid w:val="00B02680"/>
    <w:rsid w:val="00B0316F"/>
    <w:rsid w:val="00B031ED"/>
    <w:rsid w:val="00B036C1"/>
    <w:rsid w:val="00B04888"/>
    <w:rsid w:val="00B04BC9"/>
    <w:rsid w:val="00B05355"/>
    <w:rsid w:val="00B057EF"/>
    <w:rsid w:val="00B07A90"/>
    <w:rsid w:val="00B07B13"/>
    <w:rsid w:val="00B10EC0"/>
    <w:rsid w:val="00B1263C"/>
    <w:rsid w:val="00B12C2D"/>
    <w:rsid w:val="00B134B8"/>
    <w:rsid w:val="00B14B20"/>
    <w:rsid w:val="00B1577A"/>
    <w:rsid w:val="00B15ADC"/>
    <w:rsid w:val="00B16484"/>
    <w:rsid w:val="00B16ECE"/>
    <w:rsid w:val="00B174A4"/>
    <w:rsid w:val="00B17BE9"/>
    <w:rsid w:val="00B217FE"/>
    <w:rsid w:val="00B22B7C"/>
    <w:rsid w:val="00B2480C"/>
    <w:rsid w:val="00B24911"/>
    <w:rsid w:val="00B2534A"/>
    <w:rsid w:val="00B25636"/>
    <w:rsid w:val="00B257B4"/>
    <w:rsid w:val="00B25999"/>
    <w:rsid w:val="00B27871"/>
    <w:rsid w:val="00B2796C"/>
    <w:rsid w:val="00B3024F"/>
    <w:rsid w:val="00B30BC6"/>
    <w:rsid w:val="00B341C8"/>
    <w:rsid w:val="00B34254"/>
    <w:rsid w:val="00B35684"/>
    <w:rsid w:val="00B358ED"/>
    <w:rsid w:val="00B37643"/>
    <w:rsid w:val="00B37BF1"/>
    <w:rsid w:val="00B4092A"/>
    <w:rsid w:val="00B40E03"/>
    <w:rsid w:val="00B4130D"/>
    <w:rsid w:val="00B42BF5"/>
    <w:rsid w:val="00B43CFD"/>
    <w:rsid w:val="00B45347"/>
    <w:rsid w:val="00B465C2"/>
    <w:rsid w:val="00B46B7F"/>
    <w:rsid w:val="00B47084"/>
    <w:rsid w:val="00B4732F"/>
    <w:rsid w:val="00B4748A"/>
    <w:rsid w:val="00B4748B"/>
    <w:rsid w:val="00B47560"/>
    <w:rsid w:val="00B5072C"/>
    <w:rsid w:val="00B508E6"/>
    <w:rsid w:val="00B50D65"/>
    <w:rsid w:val="00B514D7"/>
    <w:rsid w:val="00B52217"/>
    <w:rsid w:val="00B52BE5"/>
    <w:rsid w:val="00B52C2E"/>
    <w:rsid w:val="00B552A1"/>
    <w:rsid w:val="00B55427"/>
    <w:rsid w:val="00B559B8"/>
    <w:rsid w:val="00B55EF7"/>
    <w:rsid w:val="00B567B5"/>
    <w:rsid w:val="00B56A22"/>
    <w:rsid w:val="00B60F1D"/>
    <w:rsid w:val="00B62D9D"/>
    <w:rsid w:val="00B62EF1"/>
    <w:rsid w:val="00B6375D"/>
    <w:rsid w:val="00B64340"/>
    <w:rsid w:val="00B6533D"/>
    <w:rsid w:val="00B706CE"/>
    <w:rsid w:val="00B7212E"/>
    <w:rsid w:val="00B72FAC"/>
    <w:rsid w:val="00B7583B"/>
    <w:rsid w:val="00B771D3"/>
    <w:rsid w:val="00B77D97"/>
    <w:rsid w:val="00B8198E"/>
    <w:rsid w:val="00B81F08"/>
    <w:rsid w:val="00B82F0C"/>
    <w:rsid w:val="00B8354A"/>
    <w:rsid w:val="00B849B5"/>
    <w:rsid w:val="00B856AD"/>
    <w:rsid w:val="00B8656B"/>
    <w:rsid w:val="00B87897"/>
    <w:rsid w:val="00B87CA2"/>
    <w:rsid w:val="00B90B24"/>
    <w:rsid w:val="00B97D5A"/>
    <w:rsid w:val="00BA08CD"/>
    <w:rsid w:val="00BA0C83"/>
    <w:rsid w:val="00BA0E8E"/>
    <w:rsid w:val="00BA197E"/>
    <w:rsid w:val="00BA3C93"/>
    <w:rsid w:val="00BA4111"/>
    <w:rsid w:val="00BA4228"/>
    <w:rsid w:val="00BA4A73"/>
    <w:rsid w:val="00BA56D4"/>
    <w:rsid w:val="00BA6D81"/>
    <w:rsid w:val="00BA7C41"/>
    <w:rsid w:val="00BB0C2D"/>
    <w:rsid w:val="00BB198F"/>
    <w:rsid w:val="00BB1BEB"/>
    <w:rsid w:val="00BB1C2D"/>
    <w:rsid w:val="00BB27CF"/>
    <w:rsid w:val="00BB2A2E"/>
    <w:rsid w:val="00BB2C9B"/>
    <w:rsid w:val="00BB37A7"/>
    <w:rsid w:val="00BB40CB"/>
    <w:rsid w:val="00BB4C52"/>
    <w:rsid w:val="00BB5A49"/>
    <w:rsid w:val="00BB60DB"/>
    <w:rsid w:val="00BB67C2"/>
    <w:rsid w:val="00BB6847"/>
    <w:rsid w:val="00BB6FF8"/>
    <w:rsid w:val="00BB721E"/>
    <w:rsid w:val="00BC079E"/>
    <w:rsid w:val="00BC0A73"/>
    <w:rsid w:val="00BC11BC"/>
    <w:rsid w:val="00BC195E"/>
    <w:rsid w:val="00BC1B87"/>
    <w:rsid w:val="00BC4305"/>
    <w:rsid w:val="00BC48FA"/>
    <w:rsid w:val="00BC589B"/>
    <w:rsid w:val="00BC6D6A"/>
    <w:rsid w:val="00BC7C12"/>
    <w:rsid w:val="00BC7C86"/>
    <w:rsid w:val="00BC7E85"/>
    <w:rsid w:val="00BD002E"/>
    <w:rsid w:val="00BD053F"/>
    <w:rsid w:val="00BD0FD6"/>
    <w:rsid w:val="00BD1357"/>
    <w:rsid w:val="00BD33D3"/>
    <w:rsid w:val="00BD3402"/>
    <w:rsid w:val="00BD3E4B"/>
    <w:rsid w:val="00BD482C"/>
    <w:rsid w:val="00BD50C5"/>
    <w:rsid w:val="00BD5257"/>
    <w:rsid w:val="00BE0294"/>
    <w:rsid w:val="00BE2358"/>
    <w:rsid w:val="00BE25B9"/>
    <w:rsid w:val="00BE3753"/>
    <w:rsid w:val="00BE47DF"/>
    <w:rsid w:val="00BE4903"/>
    <w:rsid w:val="00BE6B95"/>
    <w:rsid w:val="00BE6CF7"/>
    <w:rsid w:val="00BE6EA6"/>
    <w:rsid w:val="00BE7625"/>
    <w:rsid w:val="00BE779D"/>
    <w:rsid w:val="00BF00BE"/>
    <w:rsid w:val="00BF0DAE"/>
    <w:rsid w:val="00BF48D1"/>
    <w:rsid w:val="00BF598C"/>
    <w:rsid w:val="00C00123"/>
    <w:rsid w:val="00C007E8"/>
    <w:rsid w:val="00C00E9D"/>
    <w:rsid w:val="00C014EC"/>
    <w:rsid w:val="00C01909"/>
    <w:rsid w:val="00C01B8C"/>
    <w:rsid w:val="00C03DFD"/>
    <w:rsid w:val="00C04A8E"/>
    <w:rsid w:val="00C04BCD"/>
    <w:rsid w:val="00C04BF1"/>
    <w:rsid w:val="00C04EC0"/>
    <w:rsid w:val="00C05183"/>
    <w:rsid w:val="00C0674E"/>
    <w:rsid w:val="00C104BF"/>
    <w:rsid w:val="00C1111C"/>
    <w:rsid w:val="00C12159"/>
    <w:rsid w:val="00C14C52"/>
    <w:rsid w:val="00C152AB"/>
    <w:rsid w:val="00C152FA"/>
    <w:rsid w:val="00C15760"/>
    <w:rsid w:val="00C1752D"/>
    <w:rsid w:val="00C175AE"/>
    <w:rsid w:val="00C17CA0"/>
    <w:rsid w:val="00C17F2F"/>
    <w:rsid w:val="00C20DB4"/>
    <w:rsid w:val="00C212E0"/>
    <w:rsid w:val="00C21707"/>
    <w:rsid w:val="00C2208E"/>
    <w:rsid w:val="00C2307F"/>
    <w:rsid w:val="00C23995"/>
    <w:rsid w:val="00C24637"/>
    <w:rsid w:val="00C24985"/>
    <w:rsid w:val="00C25429"/>
    <w:rsid w:val="00C25AC0"/>
    <w:rsid w:val="00C25B95"/>
    <w:rsid w:val="00C2730D"/>
    <w:rsid w:val="00C31774"/>
    <w:rsid w:val="00C31E72"/>
    <w:rsid w:val="00C32176"/>
    <w:rsid w:val="00C323BC"/>
    <w:rsid w:val="00C335FC"/>
    <w:rsid w:val="00C33F56"/>
    <w:rsid w:val="00C34CBE"/>
    <w:rsid w:val="00C34F38"/>
    <w:rsid w:val="00C35416"/>
    <w:rsid w:val="00C3562A"/>
    <w:rsid w:val="00C35CA5"/>
    <w:rsid w:val="00C35F80"/>
    <w:rsid w:val="00C4063E"/>
    <w:rsid w:val="00C4155C"/>
    <w:rsid w:val="00C41984"/>
    <w:rsid w:val="00C41EC1"/>
    <w:rsid w:val="00C4395B"/>
    <w:rsid w:val="00C43E8E"/>
    <w:rsid w:val="00C441A0"/>
    <w:rsid w:val="00C45475"/>
    <w:rsid w:val="00C456A5"/>
    <w:rsid w:val="00C4572B"/>
    <w:rsid w:val="00C460F2"/>
    <w:rsid w:val="00C47DE7"/>
    <w:rsid w:val="00C51CE4"/>
    <w:rsid w:val="00C51FFD"/>
    <w:rsid w:val="00C524BA"/>
    <w:rsid w:val="00C5282A"/>
    <w:rsid w:val="00C53013"/>
    <w:rsid w:val="00C53E3C"/>
    <w:rsid w:val="00C53E78"/>
    <w:rsid w:val="00C55183"/>
    <w:rsid w:val="00C55275"/>
    <w:rsid w:val="00C55CC9"/>
    <w:rsid w:val="00C56733"/>
    <w:rsid w:val="00C56F10"/>
    <w:rsid w:val="00C57A5E"/>
    <w:rsid w:val="00C57C2F"/>
    <w:rsid w:val="00C602D1"/>
    <w:rsid w:val="00C60641"/>
    <w:rsid w:val="00C607C4"/>
    <w:rsid w:val="00C61AAC"/>
    <w:rsid w:val="00C62330"/>
    <w:rsid w:val="00C64457"/>
    <w:rsid w:val="00C647A5"/>
    <w:rsid w:val="00C65691"/>
    <w:rsid w:val="00C65BA8"/>
    <w:rsid w:val="00C6755A"/>
    <w:rsid w:val="00C675BC"/>
    <w:rsid w:val="00C67722"/>
    <w:rsid w:val="00C7136E"/>
    <w:rsid w:val="00C72161"/>
    <w:rsid w:val="00C7231B"/>
    <w:rsid w:val="00C733F7"/>
    <w:rsid w:val="00C753E7"/>
    <w:rsid w:val="00C76C45"/>
    <w:rsid w:val="00C82398"/>
    <w:rsid w:val="00C83547"/>
    <w:rsid w:val="00C83AB3"/>
    <w:rsid w:val="00C85A34"/>
    <w:rsid w:val="00C866D9"/>
    <w:rsid w:val="00C87506"/>
    <w:rsid w:val="00C91ED9"/>
    <w:rsid w:val="00C93CF9"/>
    <w:rsid w:val="00C93F64"/>
    <w:rsid w:val="00C94380"/>
    <w:rsid w:val="00C943C0"/>
    <w:rsid w:val="00C945B2"/>
    <w:rsid w:val="00C95468"/>
    <w:rsid w:val="00C95793"/>
    <w:rsid w:val="00C959CE"/>
    <w:rsid w:val="00C9642C"/>
    <w:rsid w:val="00C97C71"/>
    <w:rsid w:val="00CA034C"/>
    <w:rsid w:val="00CA04A3"/>
    <w:rsid w:val="00CA133B"/>
    <w:rsid w:val="00CA1D2D"/>
    <w:rsid w:val="00CA211E"/>
    <w:rsid w:val="00CA27FF"/>
    <w:rsid w:val="00CA2C26"/>
    <w:rsid w:val="00CA410E"/>
    <w:rsid w:val="00CA54B2"/>
    <w:rsid w:val="00CA69D9"/>
    <w:rsid w:val="00CA6AC4"/>
    <w:rsid w:val="00CB0158"/>
    <w:rsid w:val="00CB090C"/>
    <w:rsid w:val="00CB190A"/>
    <w:rsid w:val="00CB214D"/>
    <w:rsid w:val="00CB367E"/>
    <w:rsid w:val="00CB3A33"/>
    <w:rsid w:val="00CB3A8A"/>
    <w:rsid w:val="00CB427E"/>
    <w:rsid w:val="00CB4E5A"/>
    <w:rsid w:val="00CB69A7"/>
    <w:rsid w:val="00CB6E03"/>
    <w:rsid w:val="00CB7476"/>
    <w:rsid w:val="00CC0A1E"/>
    <w:rsid w:val="00CC0EC9"/>
    <w:rsid w:val="00CC149E"/>
    <w:rsid w:val="00CC15CC"/>
    <w:rsid w:val="00CC2AE1"/>
    <w:rsid w:val="00CC2BFB"/>
    <w:rsid w:val="00CC3005"/>
    <w:rsid w:val="00CC3A84"/>
    <w:rsid w:val="00CC653D"/>
    <w:rsid w:val="00CC768A"/>
    <w:rsid w:val="00CC7CA2"/>
    <w:rsid w:val="00CD0622"/>
    <w:rsid w:val="00CD0E0F"/>
    <w:rsid w:val="00CD134A"/>
    <w:rsid w:val="00CD3295"/>
    <w:rsid w:val="00CD32C3"/>
    <w:rsid w:val="00CD38BB"/>
    <w:rsid w:val="00CD3E06"/>
    <w:rsid w:val="00CD43B8"/>
    <w:rsid w:val="00CD4B32"/>
    <w:rsid w:val="00CD5A99"/>
    <w:rsid w:val="00CD67D8"/>
    <w:rsid w:val="00CD6897"/>
    <w:rsid w:val="00CD6EC0"/>
    <w:rsid w:val="00CD6EEF"/>
    <w:rsid w:val="00CD75B8"/>
    <w:rsid w:val="00CD7664"/>
    <w:rsid w:val="00CD7C2E"/>
    <w:rsid w:val="00CD7D3E"/>
    <w:rsid w:val="00CD7F47"/>
    <w:rsid w:val="00CE0289"/>
    <w:rsid w:val="00CE04D0"/>
    <w:rsid w:val="00CE0FC1"/>
    <w:rsid w:val="00CE1DE7"/>
    <w:rsid w:val="00CE550C"/>
    <w:rsid w:val="00CE5C4B"/>
    <w:rsid w:val="00CE610A"/>
    <w:rsid w:val="00CE7078"/>
    <w:rsid w:val="00CE7D12"/>
    <w:rsid w:val="00CF0A7B"/>
    <w:rsid w:val="00CF1E52"/>
    <w:rsid w:val="00CF29A3"/>
    <w:rsid w:val="00CF31C5"/>
    <w:rsid w:val="00CF430F"/>
    <w:rsid w:val="00CF450F"/>
    <w:rsid w:val="00CF6612"/>
    <w:rsid w:val="00CF722D"/>
    <w:rsid w:val="00CF761A"/>
    <w:rsid w:val="00CF769B"/>
    <w:rsid w:val="00D00418"/>
    <w:rsid w:val="00D01645"/>
    <w:rsid w:val="00D0165F"/>
    <w:rsid w:val="00D01726"/>
    <w:rsid w:val="00D02E98"/>
    <w:rsid w:val="00D0328F"/>
    <w:rsid w:val="00D03418"/>
    <w:rsid w:val="00D03756"/>
    <w:rsid w:val="00D04358"/>
    <w:rsid w:val="00D048A4"/>
    <w:rsid w:val="00D05CAA"/>
    <w:rsid w:val="00D0697E"/>
    <w:rsid w:val="00D074CC"/>
    <w:rsid w:val="00D1009D"/>
    <w:rsid w:val="00D11255"/>
    <w:rsid w:val="00D13CA4"/>
    <w:rsid w:val="00D1451F"/>
    <w:rsid w:val="00D14EC7"/>
    <w:rsid w:val="00D1637C"/>
    <w:rsid w:val="00D16668"/>
    <w:rsid w:val="00D16A96"/>
    <w:rsid w:val="00D20BB5"/>
    <w:rsid w:val="00D20E3B"/>
    <w:rsid w:val="00D21CC3"/>
    <w:rsid w:val="00D22385"/>
    <w:rsid w:val="00D23AF3"/>
    <w:rsid w:val="00D249CB"/>
    <w:rsid w:val="00D251CF"/>
    <w:rsid w:val="00D253F3"/>
    <w:rsid w:val="00D27976"/>
    <w:rsid w:val="00D27E35"/>
    <w:rsid w:val="00D313ED"/>
    <w:rsid w:val="00D325BD"/>
    <w:rsid w:val="00D327D0"/>
    <w:rsid w:val="00D33C16"/>
    <w:rsid w:val="00D361D2"/>
    <w:rsid w:val="00D363CB"/>
    <w:rsid w:val="00D375E0"/>
    <w:rsid w:val="00D37A5F"/>
    <w:rsid w:val="00D40187"/>
    <w:rsid w:val="00D41F77"/>
    <w:rsid w:val="00D424CF"/>
    <w:rsid w:val="00D42B2F"/>
    <w:rsid w:val="00D43578"/>
    <w:rsid w:val="00D44D1C"/>
    <w:rsid w:val="00D45207"/>
    <w:rsid w:val="00D455DD"/>
    <w:rsid w:val="00D45905"/>
    <w:rsid w:val="00D470C9"/>
    <w:rsid w:val="00D47949"/>
    <w:rsid w:val="00D47EA6"/>
    <w:rsid w:val="00D50080"/>
    <w:rsid w:val="00D50EA5"/>
    <w:rsid w:val="00D53DFD"/>
    <w:rsid w:val="00D54343"/>
    <w:rsid w:val="00D54513"/>
    <w:rsid w:val="00D55595"/>
    <w:rsid w:val="00D55B65"/>
    <w:rsid w:val="00D57471"/>
    <w:rsid w:val="00D57BC9"/>
    <w:rsid w:val="00D608AC"/>
    <w:rsid w:val="00D61E69"/>
    <w:rsid w:val="00D63032"/>
    <w:rsid w:val="00D64B9F"/>
    <w:rsid w:val="00D65CFA"/>
    <w:rsid w:val="00D669FF"/>
    <w:rsid w:val="00D67005"/>
    <w:rsid w:val="00D7070D"/>
    <w:rsid w:val="00D707DB"/>
    <w:rsid w:val="00D70E77"/>
    <w:rsid w:val="00D71777"/>
    <w:rsid w:val="00D736EE"/>
    <w:rsid w:val="00D739B4"/>
    <w:rsid w:val="00D74FD2"/>
    <w:rsid w:val="00D757D4"/>
    <w:rsid w:val="00D77382"/>
    <w:rsid w:val="00D77980"/>
    <w:rsid w:val="00D77D8F"/>
    <w:rsid w:val="00D80317"/>
    <w:rsid w:val="00D8265C"/>
    <w:rsid w:val="00D8297E"/>
    <w:rsid w:val="00D83E40"/>
    <w:rsid w:val="00D83EBA"/>
    <w:rsid w:val="00D8495B"/>
    <w:rsid w:val="00D84B31"/>
    <w:rsid w:val="00D852E2"/>
    <w:rsid w:val="00D863A7"/>
    <w:rsid w:val="00D92255"/>
    <w:rsid w:val="00D95AB6"/>
    <w:rsid w:val="00D95E3C"/>
    <w:rsid w:val="00D961AE"/>
    <w:rsid w:val="00D96950"/>
    <w:rsid w:val="00D9765F"/>
    <w:rsid w:val="00D97DD1"/>
    <w:rsid w:val="00D97EF3"/>
    <w:rsid w:val="00DA1845"/>
    <w:rsid w:val="00DA2073"/>
    <w:rsid w:val="00DA289C"/>
    <w:rsid w:val="00DA2B80"/>
    <w:rsid w:val="00DA3CFD"/>
    <w:rsid w:val="00DA3D38"/>
    <w:rsid w:val="00DA4574"/>
    <w:rsid w:val="00DA530F"/>
    <w:rsid w:val="00DA533B"/>
    <w:rsid w:val="00DA60FA"/>
    <w:rsid w:val="00DA684C"/>
    <w:rsid w:val="00DB0ED5"/>
    <w:rsid w:val="00DB2FD4"/>
    <w:rsid w:val="00DB356D"/>
    <w:rsid w:val="00DB35E5"/>
    <w:rsid w:val="00DB3F8D"/>
    <w:rsid w:val="00DB4A90"/>
    <w:rsid w:val="00DB560E"/>
    <w:rsid w:val="00DB602B"/>
    <w:rsid w:val="00DC0788"/>
    <w:rsid w:val="00DC1286"/>
    <w:rsid w:val="00DC256E"/>
    <w:rsid w:val="00DC27C7"/>
    <w:rsid w:val="00DC4C74"/>
    <w:rsid w:val="00DC52C5"/>
    <w:rsid w:val="00DC6231"/>
    <w:rsid w:val="00DD0461"/>
    <w:rsid w:val="00DD1BB5"/>
    <w:rsid w:val="00DD488A"/>
    <w:rsid w:val="00DD5C29"/>
    <w:rsid w:val="00DD6C19"/>
    <w:rsid w:val="00DD7A9C"/>
    <w:rsid w:val="00DD7EDD"/>
    <w:rsid w:val="00DE081E"/>
    <w:rsid w:val="00DE0EA0"/>
    <w:rsid w:val="00DE1B7C"/>
    <w:rsid w:val="00DE1CF2"/>
    <w:rsid w:val="00DE2447"/>
    <w:rsid w:val="00DE399A"/>
    <w:rsid w:val="00DE4221"/>
    <w:rsid w:val="00DE42A4"/>
    <w:rsid w:val="00DE5532"/>
    <w:rsid w:val="00DE5C11"/>
    <w:rsid w:val="00DE6533"/>
    <w:rsid w:val="00DE6749"/>
    <w:rsid w:val="00DE6834"/>
    <w:rsid w:val="00DE6A30"/>
    <w:rsid w:val="00DE747E"/>
    <w:rsid w:val="00DE747F"/>
    <w:rsid w:val="00DE7A76"/>
    <w:rsid w:val="00DE7A9F"/>
    <w:rsid w:val="00DF03B0"/>
    <w:rsid w:val="00DF085C"/>
    <w:rsid w:val="00DF0912"/>
    <w:rsid w:val="00DF1048"/>
    <w:rsid w:val="00DF1D26"/>
    <w:rsid w:val="00DF2303"/>
    <w:rsid w:val="00DF2F8A"/>
    <w:rsid w:val="00DF3BA8"/>
    <w:rsid w:val="00DF4030"/>
    <w:rsid w:val="00DF4614"/>
    <w:rsid w:val="00DF49C0"/>
    <w:rsid w:val="00DF6BF3"/>
    <w:rsid w:val="00DF7127"/>
    <w:rsid w:val="00E001C8"/>
    <w:rsid w:val="00E00595"/>
    <w:rsid w:val="00E00CDC"/>
    <w:rsid w:val="00E018C7"/>
    <w:rsid w:val="00E01E6F"/>
    <w:rsid w:val="00E046D1"/>
    <w:rsid w:val="00E04DA0"/>
    <w:rsid w:val="00E05148"/>
    <w:rsid w:val="00E05477"/>
    <w:rsid w:val="00E06B45"/>
    <w:rsid w:val="00E06E43"/>
    <w:rsid w:val="00E10853"/>
    <w:rsid w:val="00E12A2D"/>
    <w:rsid w:val="00E12A55"/>
    <w:rsid w:val="00E12B88"/>
    <w:rsid w:val="00E13679"/>
    <w:rsid w:val="00E14BB9"/>
    <w:rsid w:val="00E14C0B"/>
    <w:rsid w:val="00E1690D"/>
    <w:rsid w:val="00E174AB"/>
    <w:rsid w:val="00E1772B"/>
    <w:rsid w:val="00E22757"/>
    <w:rsid w:val="00E237CE"/>
    <w:rsid w:val="00E23E09"/>
    <w:rsid w:val="00E247DD"/>
    <w:rsid w:val="00E24BF2"/>
    <w:rsid w:val="00E26D0A"/>
    <w:rsid w:val="00E2732B"/>
    <w:rsid w:val="00E317BE"/>
    <w:rsid w:val="00E31A81"/>
    <w:rsid w:val="00E32ABC"/>
    <w:rsid w:val="00E34376"/>
    <w:rsid w:val="00E345E6"/>
    <w:rsid w:val="00E34AF9"/>
    <w:rsid w:val="00E357C8"/>
    <w:rsid w:val="00E35A45"/>
    <w:rsid w:val="00E37884"/>
    <w:rsid w:val="00E37A13"/>
    <w:rsid w:val="00E40722"/>
    <w:rsid w:val="00E408DD"/>
    <w:rsid w:val="00E42A3F"/>
    <w:rsid w:val="00E43E9B"/>
    <w:rsid w:val="00E44DC4"/>
    <w:rsid w:val="00E46C4E"/>
    <w:rsid w:val="00E47D9B"/>
    <w:rsid w:val="00E509A8"/>
    <w:rsid w:val="00E53406"/>
    <w:rsid w:val="00E535E8"/>
    <w:rsid w:val="00E5363E"/>
    <w:rsid w:val="00E54E78"/>
    <w:rsid w:val="00E55447"/>
    <w:rsid w:val="00E556F5"/>
    <w:rsid w:val="00E5604E"/>
    <w:rsid w:val="00E56DD2"/>
    <w:rsid w:val="00E6058B"/>
    <w:rsid w:val="00E61180"/>
    <w:rsid w:val="00E61691"/>
    <w:rsid w:val="00E622C0"/>
    <w:rsid w:val="00E62373"/>
    <w:rsid w:val="00E62691"/>
    <w:rsid w:val="00E630E1"/>
    <w:rsid w:val="00E6365C"/>
    <w:rsid w:val="00E649C0"/>
    <w:rsid w:val="00E66D4E"/>
    <w:rsid w:val="00E67835"/>
    <w:rsid w:val="00E7075C"/>
    <w:rsid w:val="00E716E4"/>
    <w:rsid w:val="00E72281"/>
    <w:rsid w:val="00E72FE3"/>
    <w:rsid w:val="00E735EC"/>
    <w:rsid w:val="00E758B8"/>
    <w:rsid w:val="00E7638C"/>
    <w:rsid w:val="00E76AA7"/>
    <w:rsid w:val="00E76C8C"/>
    <w:rsid w:val="00E77A3B"/>
    <w:rsid w:val="00E77FBE"/>
    <w:rsid w:val="00E81B03"/>
    <w:rsid w:val="00E81E76"/>
    <w:rsid w:val="00E8237D"/>
    <w:rsid w:val="00E82648"/>
    <w:rsid w:val="00E8277A"/>
    <w:rsid w:val="00E83502"/>
    <w:rsid w:val="00E85CB3"/>
    <w:rsid w:val="00E8735B"/>
    <w:rsid w:val="00E90075"/>
    <w:rsid w:val="00E90868"/>
    <w:rsid w:val="00E90F86"/>
    <w:rsid w:val="00E91C6D"/>
    <w:rsid w:val="00E91E28"/>
    <w:rsid w:val="00E925BA"/>
    <w:rsid w:val="00E93747"/>
    <w:rsid w:val="00E9381A"/>
    <w:rsid w:val="00E9540E"/>
    <w:rsid w:val="00E9563A"/>
    <w:rsid w:val="00E95BDE"/>
    <w:rsid w:val="00E95E13"/>
    <w:rsid w:val="00E961C9"/>
    <w:rsid w:val="00E965FE"/>
    <w:rsid w:val="00E97844"/>
    <w:rsid w:val="00EA0D6B"/>
    <w:rsid w:val="00EA164B"/>
    <w:rsid w:val="00EA1D31"/>
    <w:rsid w:val="00EA2C2A"/>
    <w:rsid w:val="00EA358D"/>
    <w:rsid w:val="00EA45E3"/>
    <w:rsid w:val="00EA45F9"/>
    <w:rsid w:val="00EA48AB"/>
    <w:rsid w:val="00EA4989"/>
    <w:rsid w:val="00EA5F08"/>
    <w:rsid w:val="00EA6228"/>
    <w:rsid w:val="00EA6AA6"/>
    <w:rsid w:val="00EA6DE6"/>
    <w:rsid w:val="00EA6F48"/>
    <w:rsid w:val="00EA7411"/>
    <w:rsid w:val="00EA7669"/>
    <w:rsid w:val="00EB0011"/>
    <w:rsid w:val="00EB09AF"/>
    <w:rsid w:val="00EB1233"/>
    <w:rsid w:val="00EB1AC9"/>
    <w:rsid w:val="00EB1C59"/>
    <w:rsid w:val="00EB1E0F"/>
    <w:rsid w:val="00EB2056"/>
    <w:rsid w:val="00EB2651"/>
    <w:rsid w:val="00EB27F7"/>
    <w:rsid w:val="00EB39F2"/>
    <w:rsid w:val="00EB3A3D"/>
    <w:rsid w:val="00EB415B"/>
    <w:rsid w:val="00EB50B5"/>
    <w:rsid w:val="00EB5C03"/>
    <w:rsid w:val="00EB6157"/>
    <w:rsid w:val="00EB6D79"/>
    <w:rsid w:val="00EB7391"/>
    <w:rsid w:val="00EB7A9F"/>
    <w:rsid w:val="00EC0ACA"/>
    <w:rsid w:val="00EC12C1"/>
    <w:rsid w:val="00EC1BBC"/>
    <w:rsid w:val="00EC1F7B"/>
    <w:rsid w:val="00EC28F3"/>
    <w:rsid w:val="00EC36B6"/>
    <w:rsid w:val="00EC3AB8"/>
    <w:rsid w:val="00EC55A5"/>
    <w:rsid w:val="00EC5FCD"/>
    <w:rsid w:val="00EC6004"/>
    <w:rsid w:val="00EC6657"/>
    <w:rsid w:val="00EC6693"/>
    <w:rsid w:val="00EC739E"/>
    <w:rsid w:val="00ED0A4A"/>
    <w:rsid w:val="00ED0D07"/>
    <w:rsid w:val="00ED0FCD"/>
    <w:rsid w:val="00ED138B"/>
    <w:rsid w:val="00ED1F1A"/>
    <w:rsid w:val="00ED3D54"/>
    <w:rsid w:val="00ED4D32"/>
    <w:rsid w:val="00ED6A5D"/>
    <w:rsid w:val="00ED7169"/>
    <w:rsid w:val="00ED7173"/>
    <w:rsid w:val="00ED7997"/>
    <w:rsid w:val="00EE09B5"/>
    <w:rsid w:val="00EE1DE7"/>
    <w:rsid w:val="00EE3569"/>
    <w:rsid w:val="00EE4AB0"/>
    <w:rsid w:val="00EE508A"/>
    <w:rsid w:val="00EE5478"/>
    <w:rsid w:val="00EE597B"/>
    <w:rsid w:val="00EE5F73"/>
    <w:rsid w:val="00EE7354"/>
    <w:rsid w:val="00EF01D4"/>
    <w:rsid w:val="00EF0794"/>
    <w:rsid w:val="00EF2251"/>
    <w:rsid w:val="00EF2F56"/>
    <w:rsid w:val="00EF388E"/>
    <w:rsid w:val="00EF3B34"/>
    <w:rsid w:val="00EF522E"/>
    <w:rsid w:val="00EF5B98"/>
    <w:rsid w:val="00EF5DFA"/>
    <w:rsid w:val="00EF6719"/>
    <w:rsid w:val="00EF6FB6"/>
    <w:rsid w:val="00EF7197"/>
    <w:rsid w:val="00EF79A4"/>
    <w:rsid w:val="00EF7ED8"/>
    <w:rsid w:val="00F008F6"/>
    <w:rsid w:val="00F009B9"/>
    <w:rsid w:val="00F013F1"/>
    <w:rsid w:val="00F01A18"/>
    <w:rsid w:val="00F02B6A"/>
    <w:rsid w:val="00F0303F"/>
    <w:rsid w:val="00F04D73"/>
    <w:rsid w:val="00F057FC"/>
    <w:rsid w:val="00F06DA1"/>
    <w:rsid w:val="00F105EC"/>
    <w:rsid w:val="00F10800"/>
    <w:rsid w:val="00F10E4D"/>
    <w:rsid w:val="00F10FD2"/>
    <w:rsid w:val="00F116BD"/>
    <w:rsid w:val="00F11DA8"/>
    <w:rsid w:val="00F11EC2"/>
    <w:rsid w:val="00F1404D"/>
    <w:rsid w:val="00F14182"/>
    <w:rsid w:val="00F153A9"/>
    <w:rsid w:val="00F17144"/>
    <w:rsid w:val="00F17210"/>
    <w:rsid w:val="00F200AB"/>
    <w:rsid w:val="00F205DB"/>
    <w:rsid w:val="00F21D84"/>
    <w:rsid w:val="00F230A8"/>
    <w:rsid w:val="00F235CA"/>
    <w:rsid w:val="00F23D3A"/>
    <w:rsid w:val="00F25817"/>
    <w:rsid w:val="00F26F20"/>
    <w:rsid w:val="00F27B27"/>
    <w:rsid w:val="00F27D66"/>
    <w:rsid w:val="00F31127"/>
    <w:rsid w:val="00F319F4"/>
    <w:rsid w:val="00F3297C"/>
    <w:rsid w:val="00F34469"/>
    <w:rsid w:val="00F35175"/>
    <w:rsid w:val="00F35939"/>
    <w:rsid w:val="00F366ED"/>
    <w:rsid w:val="00F41D87"/>
    <w:rsid w:val="00F42820"/>
    <w:rsid w:val="00F43F2F"/>
    <w:rsid w:val="00F4459B"/>
    <w:rsid w:val="00F44A7D"/>
    <w:rsid w:val="00F45109"/>
    <w:rsid w:val="00F465EA"/>
    <w:rsid w:val="00F46B5E"/>
    <w:rsid w:val="00F47E85"/>
    <w:rsid w:val="00F50AE2"/>
    <w:rsid w:val="00F51192"/>
    <w:rsid w:val="00F54D24"/>
    <w:rsid w:val="00F5653A"/>
    <w:rsid w:val="00F56F50"/>
    <w:rsid w:val="00F5790D"/>
    <w:rsid w:val="00F62FBB"/>
    <w:rsid w:val="00F634AE"/>
    <w:rsid w:val="00F63BFE"/>
    <w:rsid w:val="00F645E6"/>
    <w:rsid w:val="00F6619F"/>
    <w:rsid w:val="00F66D17"/>
    <w:rsid w:val="00F7117F"/>
    <w:rsid w:val="00F71B26"/>
    <w:rsid w:val="00F729ED"/>
    <w:rsid w:val="00F72C2C"/>
    <w:rsid w:val="00F72D31"/>
    <w:rsid w:val="00F735FF"/>
    <w:rsid w:val="00F73BEA"/>
    <w:rsid w:val="00F746BA"/>
    <w:rsid w:val="00F74B70"/>
    <w:rsid w:val="00F74DF0"/>
    <w:rsid w:val="00F762A1"/>
    <w:rsid w:val="00F7689B"/>
    <w:rsid w:val="00F77583"/>
    <w:rsid w:val="00F77E72"/>
    <w:rsid w:val="00F80AED"/>
    <w:rsid w:val="00F81107"/>
    <w:rsid w:val="00F82CFF"/>
    <w:rsid w:val="00F8425C"/>
    <w:rsid w:val="00F8491D"/>
    <w:rsid w:val="00F86826"/>
    <w:rsid w:val="00F86A10"/>
    <w:rsid w:val="00F87102"/>
    <w:rsid w:val="00F87896"/>
    <w:rsid w:val="00F908D7"/>
    <w:rsid w:val="00F9092E"/>
    <w:rsid w:val="00F90C6F"/>
    <w:rsid w:val="00F9168F"/>
    <w:rsid w:val="00F92812"/>
    <w:rsid w:val="00F92A45"/>
    <w:rsid w:val="00F9314E"/>
    <w:rsid w:val="00F9363F"/>
    <w:rsid w:val="00F93662"/>
    <w:rsid w:val="00F93742"/>
    <w:rsid w:val="00FA005F"/>
    <w:rsid w:val="00FA00CA"/>
    <w:rsid w:val="00FA179F"/>
    <w:rsid w:val="00FA1CA3"/>
    <w:rsid w:val="00FA1FBE"/>
    <w:rsid w:val="00FA2FBD"/>
    <w:rsid w:val="00FA30CE"/>
    <w:rsid w:val="00FA43C7"/>
    <w:rsid w:val="00FA4524"/>
    <w:rsid w:val="00FA4B78"/>
    <w:rsid w:val="00FA54CC"/>
    <w:rsid w:val="00FA56D0"/>
    <w:rsid w:val="00FA5E62"/>
    <w:rsid w:val="00FA79EA"/>
    <w:rsid w:val="00FB445E"/>
    <w:rsid w:val="00FB4AA2"/>
    <w:rsid w:val="00FB54E8"/>
    <w:rsid w:val="00FB6F58"/>
    <w:rsid w:val="00FB7CD5"/>
    <w:rsid w:val="00FC042D"/>
    <w:rsid w:val="00FC04FB"/>
    <w:rsid w:val="00FC1023"/>
    <w:rsid w:val="00FC30B0"/>
    <w:rsid w:val="00FC334A"/>
    <w:rsid w:val="00FC3C2F"/>
    <w:rsid w:val="00FC4EDE"/>
    <w:rsid w:val="00FC620A"/>
    <w:rsid w:val="00FC7AD8"/>
    <w:rsid w:val="00FC7B01"/>
    <w:rsid w:val="00FD133C"/>
    <w:rsid w:val="00FD5BBD"/>
    <w:rsid w:val="00FD6D75"/>
    <w:rsid w:val="00FD6EE0"/>
    <w:rsid w:val="00FE1B98"/>
    <w:rsid w:val="00FE3212"/>
    <w:rsid w:val="00FE3284"/>
    <w:rsid w:val="00FE5171"/>
    <w:rsid w:val="00FE5C25"/>
    <w:rsid w:val="00FE5D55"/>
    <w:rsid w:val="00FE6801"/>
    <w:rsid w:val="00FE707D"/>
    <w:rsid w:val="00FE7350"/>
    <w:rsid w:val="00FE74B7"/>
    <w:rsid w:val="00FE7ACA"/>
    <w:rsid w:val="00FE7AEE"/>
    <w:rsid w:val="00FF0A76"/>
    <w:rsid w:val="00FF1CFE"/>
    <w:rsid w:val="00FF2BD1"/>
    <w:rsid w:val="00FF3FA9"/>
    <w:rsid w:val="00FF427D"/>
    <w:rsid w:val="00FF43C7"/>
    <w:rsid w:val="00FF4D0C"/>
    <w:rsid w:val="00FF5074"/>
    <w:rsid w:val="00FF5D8F"/>
    <w:rsid w:val="00FF6B01"/>
    <w:rsid w:val="017E080D"/>
    <w:rsid w:val="0253C2BD"/>
    <w:rsid w:val="0286F986"/>
    <w:rsid w:val="02FC76A1"/>
    <w:rsid w:val="03197BDE"/>
    <w:rsid w:val="03B150E3"/>
    <w:rsid w:val="041BACC7"/>
    <w:rsid w:val="043E9297"/>
    <w:rsid w:val="04A9F603"/>
    <w:rsid w:val="04C6FD4C"/>
    <w:rsid w:val="04DA8792"/>
    <w:rsid w:val="052941F0"/>
    <w:rsid w:val="052C387A"/>
    <w:rsid w:val="066D1484"/>
    <w:rsid w:val="068D7ECF"/>
    <w:rsid w:val="06B6D17C"/>
    <w:rsid w:val="09200D50"/>
    <w:rsid w:val="094046F6"/>
    <w:rsid w:val="0953EA48"/>
    <w:rsid w:val="09D56E09"/>
    <w:rsid w:val="0A22F58E"/>
    <w:rsid w:val="0AEEC824"/>
    <w:rsid w:val="0AFC8692"/>
    <w:rsid w:val="0B04C0AE"/>
    <w:rsid w:val="0B14280F"/>
    <w:rsid w:val="0BFB1BF8"/>
    <w:rsid w:val="0CA6DD49"/>
    <w:rsid w:val="0D1315DD"/>
    <w:rsid w:val="0DACE1A3"/>
    <w:rsid w:val="0DF26E4B"/>
    <w:rsid w:val="0E55A546"/>
    <w:rsid w:val="0EC79837"/>
    <w:rsid w:val="0F339497"/>
    <w:rsid w:val="0F41EB6A"/>
    <w:rsid w:val="0F7930EA"/>
    <w:rsid w:val="0FE1F91D"/>
    <w:rsid w:val="10670B45"/>
    <w:rsid w:val="10A1725D"/>
    <w:rsid w:val="10ED78BE"/>
    <w:rsid w:val="1145CAD7"/>
    <w:rsid w:val="116607C4"/>
    <w:rsid w:val="11843BC1"/>
    <w:rsid w:val="11F1711A"/>
    <w:rsid w:val="12054EE4"/>
    <w:rsid w:val="1230DC7C"/>
    <w:rsid w:val="12FF4A76"/>
    <w:rsid w:val="1354F741"/>
    <w:rsid w:val="13708F0E"/>
    <w:rsid w:val="13F5D0BC"/>
    <w:rsid w:val="13F5D6B0"/>
    <w:rsid w:val="13FBF2ED"/>
    <w:rsid w:val="142F7F77"/>
    <w:rsid w:val="14709700"/>
    <w:rsid w:val="148A6E4B"/>
    <w:rsid w:val="14AB646A"/>
    <w:rsid w:val="15046F68"/>
    <w:rsid w:val="15CADC91"/>
    <w:rsid w:val="17A1152A"/>
    <w:rsid w:val="17C5F218"/>
    <w:rsid w:val="18E4E0C8"/>
    <w:rsid w:val="18EB16AB"/>
    <w:rsid w:val="1941D65F"/>
    <w:rsid w:val="1953CB8F"/>
    <w:rsid w:val="19A82D52"/>
    <w:rsid w:val="1A0B9DFA"/>
    <w:rsid w:val="1A445CA5"/>
    <w:rsid w:val="1A8EC579"/>
    <w:rsid w:val="1AB9F209"/>
    <w:rsid w:val="1AF1BBD9"/>
    <w:rsid w:val="1B3FFD09"/>
    <w:rsid w:val="1B729F25"/>
    <w:rsid w:val="1BA55918"/>
    <w:rsid w:val="1C2840DF"/>
    <w:rsid w:val="1C45B506"/>
    <w:rsid w:val="1C9A7167"/>
    <w:rsid w:val="1CC3AFE3"/>
    <w:rsid w:val="1CE3683C"/>
    <w:rsid w:val="1D26DF94"/>
    <w:rsid w:val="1DC97E12"/>
    <w:rsid w:val="1E2F71B2"/>
    <w:rsid w:val="1E5D31C8"/>
    <w:rsid w:val="1E71401B"/>
    <w:rsid w:val="1ED23766"/>
    <w:rsid w:val="1FF286F6"/>
    <w:rsid w:val="20D6E680"/>
    <w:rsid w:val="2109661B"/>
    <w:rsid w:val="2127B665"/>
    <w:rsid w:val="218C36BD"/>
    <w:rsid w:val="219E8540"/>
    <w:rsid w:val="22006F7E"/>
    <w:rsid w:val="22EBCF38"/>
    <w:rsid w:val="233F2AEB"/>
    <w:rsid w:val="23FDDE05"/>
    <w:rsid w:val="24278F69"/>
    <w:rsid w:val="24737DF5"/>
    <w:rsid w:val="24975057"/>
    <w:rsid w:val="24A8D1DB"/>
    <w:rsid w:val="257A91E7"/>
    <w:rsid w:val="2713411B"/>
    <w:rsid w:val="275A7127"/>
    <w:rsid w:val="278811A8"/>
    <w:rsid w:val="2811CCCC"/>
    <w:rsid w:val="2878ABED"/>
    <w:rsid w:val="2883815C"/>
    <w:rsid w:val="292628D3"/>
    <w:rsid w:val="292D7DC3"/>
    <w:rsid w:val="29FDD041"/>
    <w:rsid w:val="2ABCB55E"/>
    <w:rsid w:val="2B030294"/>
    <w:rsid w:val="2B1FDEC0"/>
    <w:rsid w:val="2B656030"/>
    <w:rsid w:val="2C5E02EF"/>
    <w:rsid w:val="2C70038E"/>
    <w:rsid w:val="2CD5189A"/>
    <w:rsid w:val="2E907B42"/>
    <w:rsid w:val="2E95E2CC"/>
    <w:rsid w:val="2ECCCCD2"/>
    <w:rsid w:val="2F03ED9F"/>
    <w:rsid w:val="2F118833"/>
    <w:rsid w:val="2F301E9E"/>
    <w:rsid w:val="2FA5DF26"/>
    <w:rsid w:val="303F7890"/>
    <w:rsid w:val="3098ACF1"/>
    <w:rsid w:val="313DBC48"/>
    <w:rsid w:val="322DCCE6"/>
    <w:rsid w:val="3259D984"/>
    <w:rsid w:val="328BF5F2"/>
    <w:rsid w:val="3296155F"/>
    <w:rsid w:val="3382120F"/>
    <w:rsid w:val="351C6D8A"/>
    <w:rsid w:val="3732F04B"/>
    <w:rsid w:val="37579E22"/>
    <w:rsid w:val="38CFD4B1"/>
    <w:rsid w:val="3937BC5F"/>
    <w:rsid w:val="39DD440E"/>
    <w:rsid w:val="39F90381"/>
    <w:rsid w:val="3A17DE9A"/>
    <w:rsid w:val="3A6FE37D"/>
    <w:rsid w:val="3A8A1B78"/>
    <w:rsid w:val="3AA98924"/>
    <w:rsid w:val="3B70A9F4"/>
    <w:rsid w:val="3C06C453"/>
    <w:rsid w:val="3C0BA783"/>
    <w:rsid w:val="3C265B68"/>
    <w:rsid w:val="3C5291E3"/>
    <w:rsid w:val="3CFE77A7"/>
    <w:rsid w:val="3D67E5C3"/>
    <w:rsid w:val="3DFE8CAF"/>
    <w:rsid w:val="3E03C973"/>
    <w:rsid w:val="3E695584"/>
    <w:rsid w:val="3FA8009E"/>
    <w:rsid w:val="3FE4275D"/>
    <w:rsid w:val="3FFE9894"/>
    <w:rsid w:val="400311C0"/>
    <w:rsid w:val="40437B6C"/>
    <w:rsid w:val="40B473D4"/>
    <w:rsid w:val="40F92D07"/>
    <w:rsid w:val="4241F5A1"/>
    <w:rsid w:val="4329CE15"/>
    <w:rsid w:val="43CAAA26"/>
    <w:rsid w:val="43F4CBB4"/>
    <w:rsid w:val="44DFC345"/>
    <w:rsid w:val="44E42042"/>
    <w:rsid w:val="45967FA2"/>
    <w:rsid w:val="45CBEDF9"/>
    <w:rsid w:val="46DA9D63"/>
    <w:rsid w:val="470897FE"/>
    <w:rsid w:val="471BFDD5"/>
    <w:rsid w:val="484EA5FE"/>
    <w:rsid w:val="488383DD"/>
    <w:rsid w:val="48D4EB0F"/>
    <w:rsid w:val="49CE0A5A"/>
    <w:rsid w:val="49F9CC95"/>
    <w:rsid w:val="4AEC32E8"/>
    <w:rsid w:val="4B0CE325"/>
    <w:rsid w:val="4BD4E759"/>
    <w:rsid w:val="4C369A8D"/>
    <w:rsid w:val="4D214098"/>
    <w:rsid w:val="4D519336"/>
    <w:rsid w:val="4D59785B"/>
    <w:rsid w:val="4E0B3513"/>
    <w:rsid w:val="4E37C690"/>
    <w:rsid w:val="4E7149C6"/>
    <w:rsid w:val="4EE3F249"/>
    <w:rsid w:val="4F777379"/>
    <w:rsid w:val="4FE42F37"/>
    <w:rsid w:val="50649C44"/>
    <w:rsid w:val="50E0F236"/>
    <w:rsid w:val="513734EB"/>
    <w:rsid w:val="516460B0"/>
    <w:rsid w:val="51B9AAC3"/>
    <w:rsid w:val="52082C47"/>
    <w:rsid w:val="52C84FF2"/>
    <w:rsid w:val="52FAFB54"/>
    <w:rsid w:val="52FF71C3"/>
    <w:rsid w:val="532DA57D"/>
    <w:rsid w:val="534CF478"/>
    <w:rsid w:val="5370D8D3"/>
    <w:rsid w:val="53EDFA77"/>
    <w:rsid w:val="55069610"/>
    <w:rsid w:val="552126A3"/>
    <w:rsid w:val="553D94BA"/>
    <w:rsid w:val="55E25F09"/>
    <w:rsid w:val="56ECBB25"/>
    <w:rsid w:val="57ADB832"/>
    <w:rsid w:val="58262A25"/>
    <w:rsid w:val="5A0D5725"/>
    <w:rsid w:val="5A412508"/>
    <w:rsid w:val="5A42C3B6"/>
    <w:rsid w:val="5A638479"/>
    <w:rsid w:val="5B5F4DFC"/>
    <w:rsid w:val="5B8F9F23"/>
    <w:rsid w:val="5BC2B879"/>
    <w:rsid w:val="5C2615DD"/>
    <w:rsid w:val="5C96EEFD"/>
    <w:rsid w:val="5D43DE64"/>
    <w:rsid w:val="5D71B71A"/>
    <w:rsid w:val="5D8DB50B"/>
    <w:rsid w:val="5DB5E263"/>
    <w:rsid w:val="5E52F669"/>
    <w:rsid w:val="5FA73DD3"/>
    <w:rsid w:val="60596CBE"/>
    <w:rsid w:val="609F2B07"/>
    <w:rsid w:val="6108366E"/>
    <w:rsid w:val="613ACD73"/>
    <w:rsid w:val="61EB1778"/>
    <w:rsid w:val="62750313"/>
    <w:rsid w:val="62839F1A"/>
    <w:rsid w:val="6294DB57"/>
    <w:rsid w:val="62FB837F"/>
    <w:rsid w:val="632DAD1E"/>
    <w:rsid w:val="63F8607C"/>
    <w:rsid w:val="63FA831A"/>
    <w:rsid w:val="6418D955"/>
    <w:rsid w:val="650B3C56"/>
    <w:rsid w:val="6527EF62"/>
    <w:rsid w:val="65FCB1D7"/>
    <w:rsid w:val="663C65F4"/>
    <w:rsid w:val="670C4B30"/>
    <w:rsid w:val="684BE58F"/>
    <w:rsid w:val="68655D0F"/>
    <w:rsid w:val="6A62688D"/>
    <w:rsid w:val="6A6586CD"/>
    <w:rsid w:val="6B3D4676"/>
    <w:rsid w:val="6BCC4DDB"/>
    <w:rsid w:val="6C592CFA"/>
    <w:rsid w:val="6C5F9C0A"/>
    <w:rsid w:val="6C86BC44"/>
    <w:rsid w:val="6D3BC13E"/>
    <w:rsid w:val="6D83FA56"/>
    <w:rsid w:val="6DE6DC03"/>
    <w:rsid w:val="6E1FDE99"/>
    <w:rsid w:val="6EC4AC12"/>
    <w:rsid w:val="6EF90280"/>
    <w:rsid w:val="6FF332B2"/>
    <w:rsid w:val="706894D5"/>
    <w:rsid w:val="70ABA54E"/>
    <w:rsid w:val="73657E71"/>
    <w:rsid w:val="747EA5E3"/>
    <w:rsid w:val="74BCD5E8"/>
    <w:rsid w:val="752F3E70"/>
    <w:rsid w:val="75411A87"/>
    <w:rsid w:val="7570FAA4"/>
    <w:rsid w:val="757B0AE7"/>
    <w:rsid w:val="7597317C"/>
    <w:rsid w:val="75F85FCC"/>
    <w:rsid w:val="75FCC3AC"/>
    <w:rsid w:val="76160ADC"/>
    <w:rsid w:val="76631D2D"/>
    <w:rsid w:val="791D9913"/>
    <w:rsid w:val="798459C8"/>
    <w:rsid w:val="79D09389"/>
    <w:rsid w:val="7AECB1E7"/>
    <w:rsid w:val="7B353975"/>
    <w:rsid w:val="7BC13200"/>
    <w:rsid w:val="7BC93C21"/>
    <w:rsid w:val="7BDA54E3"/>
    <w:rsid w:val="7C6A409F"/>
    <w:rsid w:val="7CB91D47"/>
    <w:rsid w:val="7CE19E13"/>
    <w:rsid w:val="7D8B9796"/>
    <w:rsid w:val="7DCF3F08"/>
    <w:rsid w:val="7DEA0725"/>
    <w:rsid w:val="7E79D94B"/>
    <w:rsid w:val="7E8ADE9F"/>
    <w:rsid w:val="7EA62762"/>
    <w:rsid w:val="7F2B0FA6"/>
    <w:rsid w:val="7F31AE82"/>
    <w:rsid w:val="7F587F0B"/>
    <w:rsid w:val="7F9A932A"/>
    <w:rsid w:val="7FB994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34B3F48"/>
  <w15:chartTrackingRefBased/>
  <w15:docId w15:val="{C55D8E63-A702-44C3-8684-E31F75C4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1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1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22F"/>
    <w:rPr>
      <w:rFonts w:eastAsiaTheme="majorEastAsia" w:cstheme="majorBidi"/>
      <w:color w:val="272727" w:themeColor="text1" w:themeTint="D8"/>
    </w:rPr>
  </w:style>
  <w:style w:type="paragraph" w:styleId="Title">
    <w:name w:val="Title"/>
    <w:basedOn w:val="Normal"/>
    <w:next w:val="Normal"/>
    <w:link w:val="TitleChar"/>
    <w:uiPriority w:val="10"/>
    <w:qFormat/>
    <w:rsid w:val="00501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22F"/>
    <w:pPr>
      <w:spacing w:before="160"/>
      <w:jc w:val="center"/>
    </w:pPr>
    <w:rPr>
      <w:i/>
      <w:iCs/>
      <w:color w:val="404040" w:themeColor="text1" w:themeTint="BF"/>
    </w:rPr>
  </w:style>
  <w:style w:type="character" w:customStyle="1" w:styleId="QuoteChar">
    <w:name w:val="Quote Char"/>
    <w:basedOn w:val="DefaultParagraphFont"/>
    <w:link w:val="Quote"/>
    <w:uiPriority w:val="29"/>
    <w:rsid w:val="0050122F"/>
    <w:rPr>
      <w:i/>
      <w:iCs/>
      <w:color w:val="404040" w:themeColor="text1" w:themeTint="BF"/>
    </w:rPr>
  </w:style>
  <w:style w:type="paragraph" w:styleId="ListParagraph">
    <w:name w:val="List Paragraph"/>
    <w:basedOn w:val="Normal"/>
    <w:uiPriority w:val="34"/>
    <w:qFormat/>
    <w:rsid w:val="0050122F"/>
    <w:pPr>
      <w:ind w:left="720"/>
      <w:contextualSpacing/>
    </w:pPr>
  </w:style>
  <w:style w:type="character" w:styleId="IntenseEmphasis">
    <w:name w:val="Intense Emphasis"/>
    <w:basedOn w:val="DefaultParagraphFont"/>
    <w:uiPriority w:val="21"/>
    <w:qFormat/>
    <w:rsid w:val="0050122F"/>
    <w:rPr>
      <w:i/>
      <w:iCs/>
      <w:color w:val="0F4761" w:themeColor="accent1" w:themeShade="BF"/>
    </w:rPr>
  </w:style>
  <w:style w:type="paragraph" w:styleId="IntenseQuote">
    <w:name w:val="Intense Quote"/>
    <w:basedOn w:val="Normal"/>
    <w:next w:val="Normal"/>
    <w:link w:val="IntenseQuoteChar"/>
    <w:uiPriority w:val="30"/>
    <w:qFormat/>
    <w:rsid w:val="00501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22F"/>
    <w:rPr>
      <w:i/>
      <w:iCs/>
      <w:color w:val="0F4761" w:themeColor="accent1" w:themeShade="BF"/>
    </w:rPr>
  </w:style>
  <w:style w:type="character" w:styleId="IntenseReference">
    <w:name w:val="Intense Reference"/>
    <w:basedOn w:val="DefaultParagraphFont"/>
    <w:uiPriority w:val="32"/>
    <w:qFormat/>
    <w:rsid w:val="0050122F"/>
    <w:rPr>
      <w:b/>
      <w:bCs/>
      <w:smallCaps/>
      <w:color w:val="0F4761" w:themeColor="accent1" w:themeShade="BF"/>
      <w:spacing w:val="5"/>
    </w:rPr>
  </w:style>
  <w:style w:type="character" w:styleId="SubtleEmphasis">
    <w:name w:val="Subtle Emphasis"/>
    <w:basedOn w:val="DefaultParagraphFont"/>
    <w:uiPriority w:val="19"/>
    <w:qFormat/>
    <w:rsid w:val="0025636A"/>
    <w:rPr>
      <w:i/>
      <w:iCs/>
      <w:color w:val="404040" w:themeColor="text1" w:themeTint="BF"/>
    </w:rPr>
  </w:style>
  <w:style w:type="character" w:styleId="Strong">
    <w:name w:val="Strong"/>
    <w:basedOn w:val="DefaultParagraphFont"/>
    <w:uiPriority w:val="22"/>
    <w:qFormat/>
    <w:rsid w:val="00F200AB"/>
    <w:rPr>
      <w:b/>
      <w:bCs/>
    </w:rPr>
  </w:style>
  <w:style w:type="paragraph" w:customStyle="1" w:styleId="EndNoteBibliographyTitle">
    <w:name w:val="EndNote Bibliography Title"/>
    <w:basedOn w:val="Normal"/>
    <w:link w:val="EndNoteBibliographyTitleChar"/>
    <w:rsid w:val="0009721B"/>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09721B"/>
    <w:rPr>
      <w:rFonts w:ascii="Aptos" w:hAnsi="Aptos"/>
      <w:lang w:val="en-US"/>
    </w:rPr>
  </w:style>
  <w:style w:type="paragraph" w:customStyle="1" w:styleId="EndNoteBibliography">
    <w:name w:val="EndNote Bibliography"/>
    <w:basedOn w:val="Normal"/>
    <w:link w:val="EndNoteBibliographyChar"/>
    <w:rsid w:val="0009721B"/>
    <w:pPr>
      <w:spacing w:line="240" w:lineRule="auto"/>
    </w:pPr>
    <w:rPr>
      <w:rFonts w:ascii="Aptos" w:hAnsi="Aptos"/>
    </w:rPr>
  </w:style>
  <w:style w:type="character" w:customStyle="1" w:styleId="EndNoteBibliographyChar">
    <w:name w:val="EndNote Bibliography Char"/>
    <w:basedOn w:val="DefaultParagraphFont"/>
    <w:link w:val="EndNoteBibliography"/>
    <w:rsid w:val="0009721B"/>
    <w:rPr>
      <w:rFonts w:ascii="Aptos" w:hAnsi="Aptos"/>
      <w:lang w:val="en-US"/>
    </w:rPr>
  </w:style>
  <w:style w:type="paragraph" w:styleId="NormalWeb">
    <w:name w:val="Normal (Web)"/>
    <w:basedOn w:val="Normal"/>
    <w:uiPriority w:val="99"/>
    <w:unhideWhenUsed/>
    <w:rsid w:val="00980CFE"/>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4-Accent1">
    <w:name w:val="Grid Table 4 Accent 1"/>
    <w:basedOn w:val="TableNormal"/>
    <w:uiPriority w:val="49"/>
    <w:rsid w:val="001D38D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233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F7BEC"/>
    <w:rPr>
      <w:i/>
      <w:iCs/>
    </w:rPr>
  </w:style>
  <w:style w:type="paragraph" w:styleId="Header">
    <w:name w:val="header"/>
    <w:basedOn w:val="Normal"/>
    <w:link w:val="HeaderChar"/>
    <w:uiPriority w:val="99"/>
    <w:unhideWhenUsed/>
    <w:rsid w:val="002C2A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2A53"/>
  </w:style>
  <w:style w:type="paragraph" w:styleId="Footer">
    <w:name w:val="footer"/>
    <w:basedOn w:val="Normal"/>
    <w:link w:val="FooterChar"/>
    <w:uiPriority w:val="99"/>
    <w:unhideWhenUsed/>
    <w:rsid w:val="002C2A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2A53"/>
  </w:style>
  <w:style w:type="character" w:styleId="CommentReference">
    <w:name w:val="annotation reference"/>
    <w:basedOn w:val="DefaultParagraphFont"/>
    <w:uiPriority w:val="99"/>
    <w:semiHidden/>
    <w:unhideWhenUsed/>
    <w:rsid w:val="00F5653A"/>
    <w:rPr>
      <w:sz w:val="16"/>
      <w:szCs w:val="16"/>
    </w:rPr>
  </w:style>
  <w:style w:type="paragraph" w:styleId="CommentText">
    <w:name w:val="annotation text"/>
    <w:basedOn w:val="Normal"/>
    <w:link w:val="CommentTextChar"/>
    <w:uiPriority w:val="99"/>
    <w:unhideWhenUsed/>
    <w:rsid w:val="00F5653A"/>
    <w:pPr>
      <w:spacing w:line="240" w:lineRule="auto"/>
    </w:pPr>
    <w:rPr>
      <w:sz w:val="20"/>
      <w:szCs w:val="20"/>
    </w:rPr>
  </w:style>
  <w:style w:type="character" w:customStyle="1" w:styleId="CommentTextChar">
    <w:name w:val="Comment Text Char"/>
    <w:basedOn w:val="DefaultParagraphFont"/>
    <w:link w:val="CommentText"/>
    <w:uiPriority w:val="99"/>
    <w:rsid w:val="00F5653A"/>
    <w:rPr>
      <w:sz w:val="20"/>
      <w:szCs w:val="20"/>
    </w:rPr>
  </w:style>
  <w:style w:type="paragraph" w:styleId="CommentSubject">
    <w:name w:val="annotation subject"/>
    <w:basedOn w:val="CommentText"/>
    <w:next w:val="CommentText"/>
    <w:link w:val="CommentSubjectChar"/>
    <w:uiPriority w:val="99"/>
    <w:semiHidden/>
    <w:unhideWhenUsed/>
    <w:rsid w:val="00F5653A"/>
    <w:rPr>
      <w:b/>
      <w:bCs/>
    </w:rPr>
  </w:style>
  <w:style w:type="character" w:customStyle="1" w:styleId="CommentSubjectChar">
    <w:name w:val="Comment Subject Char"/>
    <w:basedOn w:val="CommentTextChar"/>
    <w:link w:val="CommentSubject"/>
    <w:uiPriority w:val="99"/>
    <w:semiHidden/>
    <w:rsid w:val="00F5653A"/>
    <w:rPr>
      <w:b/>
      <w:bCs/>
      <w:sz w:val="20"/>
      <w:szCs w:val="20"/>
    </w:rPr>
  </w:style>
  <w:style w:type="paragraph" w:styleId="Revision">
    <w:name w:val="Revision"/>
    <w:hidden/>
    <w:uiPriority w:val="99"/>
    <w:semiHidden/>
    <w:rsid w:val="00AE4A23"/>
    <w:pPr>
      <w:spacing w:after="0" w:line="240" w:lineRule="auto"/>
    </w:pPr>
  </w:style>
  <w:style w:type="character" w:styleId="Hyperlink">
    <w:name w:val="Hyperlink"/>
    <w:basedOn w:val="DefaultParagraphFont"/>
    <w:uiPriority w:val="99"/>
    <w:unhideWhenUsed/>
    <w:rsid w:val="001E5561"/>
    <w:rPr>
      <w:color w:val="467886"/>
      <w:u w:val="single"/>
    </w:rPr>
  </w:style>
  <w:style w:type="paragraph" w:styleId="TOC1">
    <w:name w:val="toc 1"/>
    <w:basedOn w:val="Normal"/>
    <w:next w:val="Normal"/>
    <w:uiPriority w:val="39"/>
    <w:unhideWhenUsed/>
    <w:rsid w:val="00032FDB"/>
    <w:pPr>
      <w:spacing w:after="100"/>
    </w:pPr>
  </w:style>
  <w:style w:type="paragraph" w:styleId="TOC2">
    <w:name w:val="toc 2"/>
    <w:basedOn w:val="Normal"/>
    <w:next w:val="Normal"/>
    <w:uiPriority w:val="39"/>
    <w:unhideWhenUsed/>
    <w:rsid w:val="00032FDB"/>
    <w:pPr>
      <w:spacing w:after="100"/>
      <w:ind w:left="220"/>
    </w:pPr>
  </w:style>
  <w:style w:type="paragraph" w:styleId="TOC3">
    <w:name w:val="toc 3"/>
    <w:basedOn w:val="Normal"/>
    <w:next w:val="Normal"/>
    <w:uiPriority w:val="39"/>
    <w:unhideWhenUsed/>
    <w:rsid w:val="00032FD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60278">
      <w:bodyDiv w:val="1"/>
      <w:marLeft w:val="0"/>
      <w:marRight w:val="0"/>
      <w:marTop w:val="0"/>
      <w:marBottom w:val="0"/>
      <w:divBdr>
        <w:top w:val="none" w:sz="0" w:space="0" w:color="auto"/>
        <w:left w:val="none" w:sz="0" w:space="0" w:color="auto"/>
        <w:bottom w:val="none" w:sz="0" w:space="0" w:color="auto"/>
        <w:right w:val="none" w:sz="0" w:space="0" w:color="auto"/>
      </w:divBdr>
    </w:div>
    <w:div w:id="1450661853">
      <w:bodyDiv w:val="1"/>
      <w:marLeft w:val="0"/>
      <w:marRight w:val="0"/>
      <w:marTop w:val="0"/>
      <w:marBottom w:val="0"/>
      <w:divBdr>
        <w:top w:val="none" w:sz="0" w:space="0" w:color="auto"/>
        <w:left w:val="none" w:sz="0" w:space="0" w:color="auto"/>
        <w:bottom w:val="none" w:sz="0" w:space="0" w:color="auto"/>
        <w:right w:val="none" w:sz="0" w:space="0" w:color="auto"/>
      </w:divBdr>
    </w:div>
    <w:div w:id="1673413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16/09/relationships/commentsIds" Target="commentsIds.xm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e5e47f-643e-4eed-b521-da0afb3dad93" xsi:nil="true"/>
    <lcf76f155ced4ddcb4097134ff3c332f xmlns="5b9cc68a-a72b-4c4d-bf0e-c68100bd7d4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520033A8FD02A489B7479EF39B50B61" ma:contentTypeVersion="12" ma:contentTypeDescription="Create a new document." ma:contentTypeScope="" ma:versionID="e16c947d98160a5da9f7168e9ffc6bf3">
  <xsd:schema xmlns:xsd="http://www.w3.org/2001/XMLSchema" xmlns:xs="http://www.w3.org/2001/XMLSchema" xmlns:p="http://schemas.microsoft.com/office/2006/metadata/properties" xmlns:ns2="5b9cc68a-a72b-4c4d-bf0e-c68100bd7d45" xmlns:ns3="70e5e47f-643e-4eed-b521-da0afb3dad93" targetNamespace="http://schemas.microsoft.com/office/2006/metadata/properties" ma:root="true" ma:fieldsID="e0b44a9bb9a324d8ca8b3eddb0bbc14b" ns2:_="" ns3:_="">
    <xsd:import namespace="5b9cc68a-a72b-4c4d-bf0e-c68100bd7d45"/>
    <xsd:import namespace="70e5e47f-643e-4eed-b521-da0afb3dad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9cc68a-a72b-4c4d-bf0e-c68100bd7d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fa66ae0-f42d-432d-9ecc-4e3ac9fe5e4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e5e47f-643e-4eed-b521-da0afb3dad9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be8171a-75a7-42d8-8c0f-acf922c5c02c}" ma:internalName="TaxCatchAll" ma:showField="CatchAllData" ma:web="70e5e47f-643e-4eed-b521-da0afb3dad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BF4E15-DA02-46B6-8301-3D806438C5BD}">
  <ds:schemaRefs>
    <ds:schemaRef ds:uri="http://schemas.microsoft.com/office/2006/metadata/properties"/>
    <ds:schemaRef ds:uri="http://schemas.microsoft.com/office/infopath/2007/PartnerControls"/>
    <ds:schemaRef ds:uri="70e5e47f-643e-4eed-b521-da0afb3dad93"/>
    <ds:schemaRef ds:uri="5b9cc68a-a72b-4c4d-bf0e-c68100bd7d45"/>
  </ds:schemaRefs>
</ds:datastoreItem>
</file>

<file path=customXml/itemProps2.xml><?xml version="1.0" encoding="utf-8"?>
<ds:datastoreItem xmlns:ds="http://schemas.openxmlformats.org/officeDocument/2006/customXml" ds:itemID="{AA2EA877-B595-BA4A-BC99-44D448B4E577}">
  <ds:schemaRefs>
    <ds:schemaRef ds:uri="http://schemas.openxmlformats.org/officeDocument/2006/bibliography"/>
  </ds:schemaRefs>
</ds:datastoreItem>
</file>

<file path=customXml/itemProps3.xml><?xml version="1.0" encoding="utf-8"?>
<ds:datastoreItem xmlns:ds="http://schemas.openxmlformats.org/officeDocument/2006/customXml" ds:itemID="{1EC451AF-43AE-4B42-80D1-B1CE8C22666A}">
  <ds:schemaRefs>
    <ds:schemaRef ds:uri="http://schemas.microsoft.com/sharepoint/v3/contenttype/forms"/>
  </ds:schemaRefs>
</ds:datastoreItem>
</file>

<file path=customXml/itemProps4.xml><?xml version="1.0" encoding="utf-8"?>
<ds:datastoreItem xmlns:ds="http://schemas.openxmlformats.org/officeDocument/2006/customXml" ds:itemID="{65DF000D-C894-44B3-B388-940435676F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9cc68a-a72b-4c4d-bf0e-c68100bd7d45"/>
    <ds:schemaRef ds:uri="70e5e47f-643e-4eed-b521-da0afb3dad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5106</Words>
  <Characters>27170</Characters>
  <Application>Microsoft Office Word</Application>
  <DocSecurity>0</DocSecurity>
  <Lines>460</Lines>
  <Paragraphs>139</Paragraphs>
  <ScaleCrop>false</ScaleCrop>
  <Company/>
  <LinksUpToDate>false</LinksUpToDate>
  <CharactersWithSpaces>32137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Nejoud AlKhashan</dc:creator>
  <cp:keywords/>
  <dc:description/>
  <cp:lastModifiedBy>Nejoud Alkhashan</cp:lastModifiedBy>
  <cp:revision>2</cp:revision>
  <dcterms:created xsi:type="dcterms:W3CDTF">2026-01-14T10:51:00Z</dcterms:created>
  <dcterms:modified xsi:type="dcterms:W3CDTF">2026-01-14T10:51:00Z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0x010100D520033A8FD02A489B7479EF39B50B61</vt:lpwstr>
  </property>
  <property fmtid="{D5CDD505-2E9C-101B-9397-08002B2CF9AE}" pid="3" name="MediaServiceImageTags">
    <vt:lpwstr/>
  </property>
  <property fmtid="{D5CDD505-2E9C-101B-9397-08002B2CF9AE}" pid="4" name="ClassificationTagSetId">
    <vt:lpwstr>e16409a7-1700-4153-9090-3955bc2f0ae8</vt:lpwstr>
  </property>
  <property fmtid="{D5CDD505-2E9C-101B-9397-08002B2CF9AE}" pid="5" name="ComplianceTagSetId">
    <vt:lpwstr>f14fc1f1-8950-40d5-8a29-45909da947d6</vt:lpwstr>
  </property>
  <property fmtid="{D5CDD505-2E9C-101B-9397-08002B2CF9AE}" pid="6" name="FileId">
    <vt:lpwstr>b59c9370-c02a-4594-90fd-046f0f0f8e52</vt:lpwstr>
  </property>
  <property fmtid="{D5CDD505-2E9C-101B-9397-08002B2CF9AE}" pid="7" name="UserId">
    <vt:lpwstr>FARAH ALANAZI</vt:lpwstr>
  </property>
  <property fmtid="{D5CDD505-2E9C-101B-9397-08002B2CF9AE}" pid="8" name="GVData">
    <vt:lpwstr>ew0KICAidGFnc2V0X2UxNjQwOWE3XzE3MDBfNDE1M185MDkwXzM5NTViYzJmMGFlOF9jbGFzc2lmaWNhdGlvbiI6ICJDb25maWRlbnRpYWwiLA0KICAiT1MiOiAiV2luZG93cyIsDQogICJkb2NJRCI6ICJiNTljOTM3MC1jMDJhLTQ1OTQtOTBmZC0wNDZmMGYwZjhl</vt:lpwstr>
  </property>
  <property fmtid="{D5CDD505-2E9C-101B-9397-08002B2CF9AE}" pid="9" name="GVData0">
    <vt:lpwstr>NTIiLA0KICAiZG9jU3RhdGUiOiAie1xyXG4gIFx1MDAyMkN1cnJlbnRTdGF0ZVx1MDAyMjogXHUwMDIye1xcdTAwMjJGaXJzdFBhZ2VEaWZmZXJlbnRcXHUwMDIyOmZhbHNlLFxcdTAwMjJEaWZmZXJlbnRPZGRBbmRFdmVuUGFnZXNcXHUwMDIyOmZhbHNlLFxcdTAw</vt:lpwstr>
  </property>
  <property fmtid="{D5CDD505-2E9C-101B-9397-08002B2CF9AE}" pid="10" name="GVData2">
    <vt:lpwstr>YWxzZSxcXHUwMDIyTm9uR1ZIZWFkZXJFeGlzdHNcXHUwMDIyOmZhbHNlLFxcdTAwMjJGbG9hdGluZ0hlYWRlckV4aXN0c1xcdTAwMjI6ZmFsc2UsXFx1MDAyMk5vbkdWSGVhZGVyU2hhcGVFeGlzdHNcXHUwMDIyOmZhbHNlLFxcdTAwMjJUaGlyZFBhcnR5SGVhZGVy</vt:lpwstr>
  </property>
  <property fmtid="{D5CDD505-2E9C-101B-9397-08002B2CF9AE}" pid="11" name="GVData3">
    <vt:lpwstr>c1xcdTAwMjI6W10sXFx1MDAyMkZvb3Rlck1ldGFkYXRhXFx1MDAyMjpcXHUwMDIyXFx1MDAzQ2RpdiBzdHlsZT1cXFxcXFx1MDAyMnRleHQtYWxpZ246Y2VudGVyXFxcXFxcdTAwMjJcXHUwMDNFXFx1MDAzQ3NwYW4gc3R5bGU9XFxcXFxcdTAwMjJjb2xvcjojRkZC</vt:lpwstr>
  </property>
  <property fmtid="{D5CDD505-2E9C-101B-9397-08002B2CF9AE}" pid="12" name="GVData4">
    <vt:lpwstr>RjAwO1xcXFxcXHUwMDIyXFx1MDAzRVxcdTAwM0NzcGFuXFx1MDAzRVxcdTAwM0NzdHJvbmdcXHUwMDNFQ2xhc3NpZmllZCBhcyBcXHUwNjQ1XFx1MDY0MlxcdTA2NEFcXHUwNjJGLyBSZXN0cmljdGVkXFx1MDAzQy9zdHJvbmdcXHUwMDNFXFx1MDAzQy9zcGFuXFx1</vt:lpwstr>
  </property>
  <property fmtid="{D5CDD505-2E9C-101B-9397-08002B2CF9AE}" pid="13" name="GVData5">
    <vt:lpwstr>MDAzRVxcdTAwM0Mvc3BhblxcdTAwM0VcXHUwMDNDL2RpdlxcdTAwM0VcXHUwMDIyLFxcdTAwMjJUaGlyZFBhcnR5Rm9vdGVyTWV0YWRhdGFcXHUwMDIyOlxcdTAwMjJcXHUwMDIyLFxcdTAwMjJHVkZvb3RlckV4aXN0c1xcdTAwMjI6ZmFsc2UsXFx1MDAyMk5vbkdW</vt:lpwstr>
  </property>
  <property fmtid="{D5CDD505-2E9C-101B-9397-08002B2CF9AE}" pid="14" name="GVData6">
    <vt:lpwstr>Rm9vdGVyRXhpc3RzXFx1MDAyMjpmYWxzZSxcXHUwMDIyRmxvYXRpbmdGb290ZXJFeGlzdHNcXHUwMDIyOnRydWUsXFx1MDAyMk5vbkdWRm9vdGVyU2hhcGVFeGlzdHNcXHUwMDIyOmZhbHNlLFxcdTAwMjJUaGlyZFBhcnR5Rm9vdGVyc1xcdTAwMjI6W10sXFx1MDAy</vt:lpwstr>
  </property>
  <property fmtid="{D5CDD505-2E9C-101B-9397-08002B2CF9AE}" pid="15" name="GVData7">
    <vt:lpwstr>MldhdGVybWFya01ldGFkYXRhXFx1MDAyMjpcXHUwMDIyXFx1MDAyMixcXHUwMDIyV2F0ZXJtYXJrRXhpc3RzXFx1MDAyMjpmYWxzZSxcXHUwMDIyUG93ZXJwb2ludFRpdGxlTWV0YWRhdGFcXHUwMDIyOm51bGwsXFx1MDAyMlBvd2VycG9pbnRTdWJ0aXRsZU1ldGFk</vt:lpwstr>
  </property>
  <property fmtid="{D5CDD505-2E9C-101B-9397-08002B2CF9AE}" pid="16" name="GVData8">
    <vt:lpwstr>YXRhXFx1MDAyMjpudWxsLFxcdTAwMjJUaGlyZFBhcnR5TWV0YWRhdGFGb3VuZFxcdTAwMjI6ZmFsc2V9XHUwMDIyLFxyXG4gIFx1MDAyMkZvb3Rlclx1MDAyMjogXHUwMDIyXFx1MDAzQ2RpdiBzdHlsZT1cXHUwMDIydGV4dC1hbGlnbjpjZW50ZXJcXHUwMDIyXFx1</vt:lpwstr>
  </property>
  <property fmtid="{D5CDD505-2E9C-101B-9397-08002B2CF9AE}" pid="17" name="Classification">
    <vt:lpwstr>مقيد/ Restricted</vt:lpwstr>
  </property>
  <property fmtid="{D5CDD505-2E9C-101B-9397-08002B2CF9AE}" pid="18" name="GVData9">
    <vt:lpwstr>MDAzRVxcdTAwM0NzcGFuIHN0eWxlPVxcdTAwMjJjb2xvcjojRkZCRjAwO1xcdTAwMjJcXHUwMDNFXFx1MDAzQ3NwYW5cXHUwMDNFXFx1MDAzQ3N0cm9uZ1xcdTAwM0VDbGFzc2lmaWVkIGFzIFxcdTA2NDVcXHUwNjQyXFx1MDY0QVxcdTA2MkYvIFJlc3RyaWN0ZWRc</vt:lpwstr>
  </property>
  <property fmtid="{D5CDD505-2E9C-101B-9397-08002B2CF9AE}" pid="19" name="GVData10">
    <vt:lpwstr>XHUwMDNDL3N0cm9uZ1xcdTAwM0VcXHUwMDNDL3NwYW5cXHUwMDNFXFx1MDAzQy9zcGFuXFx1MDAzRVxcdTAwM0MvZGl2XFx1MDAzRVx1MDAyMixcclxuICBcdTAwMjJPcHRpb25zXHUwMDIyOiBcdTAwMjJ7XFx1MDAyMlBvcHVwQ29uZmlndXJhdGlvblxcdTAwMjI6</vt:lpwstr>
  </property>
  <property fmtid="{D5CDD505-2E9C-101B-9397-08002B2CF9AE}" pid="20" name="GVData11">
    <vt:lpwstr>e1xcdTAwMjJBbHdheXNTaG93UG9wdXBcXHUwMDIyOmZhbHNlLFxcdTAwMjJFbmZvcmNlSGVhZGVyRm9vdGVyVHlwZVxcdTAwMjI6dHJ1ZSxcXHUwMDIySGVhZGVyUGxhY2VtZW50VHlwZVxcdTAwMjI6MSxcXHUwMDIyRm9vdGVyUGxhY2VtZW50VHlwZVxcdTAwMjI6</vt:lpwstr>
  </property>
  <property fmtid="{D5CDD505-2E9C-101B-9397-08002B2CF9AE}" pid="21" name="GVData12">
    <vt:lpwstr>MSxcXHUwMDIyRW5mb3JjZUxheW91dE9wdGlvblxcdTAwMjI6dHJ1ZSxcXHUwMDIyTGF5b3V0T3B0aW9uXFx1MDAyMjowLFxcdTAwMjJUcmlnZ2VyTnVtYmVyXFx1MDAyMjowLFxcdTAwMjJGcm9tSW5kZXhcXHUwMDIyOjAsXFx1MDAyMlRvSW5kZXhcXHUwMDIyOjAs</vt:lpwstr>
  </property>
  <property fmtid="{D5CDD505-2E9C-101B-9397-08002B2CF9AE}" pid="22" name="GVData13">
    <vt:lpwstr>XFx1MDAyMkVuZm9yY2VPdmVyd3JpdGVPcHRpb25cXHUwMDIyOnRydWUsXFx1MDAyMk92ZXJ3cml0ZU9wdGlvblxcdTAwMjI6MH0sXFx1MDAyMkhlYWRlckVuYWJsZWRcXHUwMDIyOmZhbHNlLFxcdTAwMjJIZWFkZXJcXHUwMDIyOlxcdTAwMjJcXHUwMDIyLFxcdTAw</vt:lpwstr>
  </property>
  <property fmtid="{D5CDD505-2E9C-101B-9397-08002B2CF9AE}" pid="23" name="GVData14">
    <vt:lpwstr>MjJIZWFkZXJzXFx1MDAyMjpbXFx1MDAyMlxcdTAwMjJdLFxcdTAwMjJIZWFkZXJUeXBlXFx1MDAyMjoyLFxcdTAwMjJIZWFkZXJUeXBlc0FsbG93ZWRcXHUwMDIyOlsyXSxcXHUwMDIySGVhZGVyVXBkYXRlVHlwZVxcdTAwMjI6MCxcXHUwMDIyRm9vdGVyRW5hYmxl</vt:lpwstr>
  </property>
  <property fmtid="{D5CDD505-2E9C-101B-9397-08002B2CF9AE}" pid="24" name="GVData15">
    <vt:lpwstr>ZFxcdTAwMjI6ZmFsc2UsXFx1MDAyMkZvb3RlclxcdTAwMjI6XFx1MDAyMlxcdTAwM0NkaXYgc3R5bGU9XFxcXFxcdTAwMjJ0ZXh0LWFsaWduOmNlbnRlclxcXFxcXHUwMDIyXFx1MDAzRVxcdTAwM0NzcGFuIHN0eWxlPVxcXFxcXHUwMDIyY29sb3I6I0ZGQkYwMDtc</vt:lpwstr>
  </property>
  <property fmtid="{D5CDD505-2E9C-101B-9397-08002B2CF9AE}" pid="25" name="GVData16">
    <vt:lpwstr>XFxcXFx1MDAyMlxcdTAwM0VcXHUwMDNDc3BhblxcdTAwM0VcXHUwMDNDc3Ryb25nXFx1MDAzRUNsYXNzaWZpZWQgYXMgXFx1MDY0NVxcdTA2NDJcXHUwNjRBXFx1MDYyRi8gUmVzdHJpY3RlZFxcdTAwM0Mvc3Ryb25nXFx1MDAzRVxcdTAwM0Mvc3BhblxcdTAwM0Vc</vt:lpwstr>
  </property>
  <property fmtid="{D5CDD505-2E9C-101B-9397-08002B2CF9AE}" pid="26" name="GVData17">
    <vt:lpwstr>XHUwMDNDL3NwYW5cXHUwMDNFXFx1MDAzQy9kaXZcXHUwMDNFXFx1MDAyMixcXHUwMDIyRm9vdGVyc1xcdTAwMjI6W1xcdTAwMjJcXHUwMDNDZGl2IHN0eWxlPVxcXFxcXHUwMDIydGV4dC1hbGlnbjpjZW50ZXJcXFxcXFx1MDAyMlxcdTAwM0VcXHUwMDNDc3BhbiBz</vt:lpwstr>
  </property>
  <property fmtid="{D5CDD505-2E9C-101B-9397-08002B2CF9AE}" pid="27" name="GVData18">
    <vt:lpwstr>dHlsZT1cXFxcXFx1MDAyMmNvbG9yOiNGRkJGMDA7XFxcXFxcdTAwMjJcXHUwMDNFXFx1MDAzQ3NwYW5cXHUwMDNFXFx1MDAzQ3N0cm9uZ1xcdTAwM0VDbGFzc2lmaWVkIGFzIFxcdTA2NDVcXHUwNjQyXFx1MDY0QVxcdTA2MkYvIFJlc3RyaWN0ZWRcXHUwMDNDL3N0</vt:lpwstr>
  </property>
  <property fmtid="{D5CDD505-2E9C-101B-9397-08002B2CF9AE}" pid="28" name="GVData19">
    <vt:lpwstr>cm9uZ1xcdTAwM0VcXHUwMDNDL3NwYW5cXHUwMDNFXFx1MDAzQy9zcGFuXFx1MDAzRVxcdTAwM0MvZGl2XFx1MDAzRVxcdTAwMjJdLFxcdTAwMjJGb290ZXJUeXBlXFx1MDAyMjoxLFxcdTAwMjJGb290ZXJUeXBlc0FsbG93ZWRcXHUwMDIyOlswLDFdLFxcdTAwMjJG</vt:lpwstr>
  </property>
  <property fmtid="{D5CDD505-2E9C-101B-9397-08002B2CF9AE}" pid="29" name="GVData20">
    <vt:lpwstr>b290ZXJVcGRhdGVUeXBlXFx1MDAyMjoxLFxcdTAwMjJXYXRlcm1hcmtcXHUwMDIyOlxcdTAwMjJcXHUwMDIyLFxcdTAwMjJXYXRlcm1hcmtFbmFibGVkXFx1MDAyMjpmYWxzZSxcXHUwMDIyU2hvdWxkV3JpdGVXYXRlcm1hcmtcXHUwMDIyOmZhbHNlLFxcdTAwMjJX</vt:lpwstr>
  </property>
  <property fmtid="{D5CDD505-2E9C-101B-9397-08002B2CF9AE}" pid="30" name="GVData21">
    <vt:lpwstr>YXRlcm1hcmtVcGRhdGVUeXBlXFx1MDAyMjoxLFxcdTAwMjJQb3dlcnBvaW50VGl0bGVcXHUwMDIyOm51bGwsXFx1MDAyMlBvd2VycG9pbnRTdWJpdGxlXFx1MDAyMjpudWxsfVx1MDAyMixcclxuICBcdTAwMjJTdGF0ZVx1MDAyMjogXHUwMDIye1xcdTAwMjJGaXJz</vt:lpwstr>
  </property>
  <property fmtid="{D5CDD505-2E9C-101B-9397-08002B2CF9AE}" pid="31" name="GVData23">
    <vt:lpwstr>MlRoaXJkUGFydHlIZWFkZXJNZXRhZGF0YVxcdTAwMjI6XFx1MDAyMlxcdTAwMjIsXFx1MDAyMkdWSGVhZGVyRXhpc3RzXFx1MDAyMjpmYWxzZSxcXHUwMDIyTm9uR1ZIZWFkZXJFeGlzdHNcXHUwMDIyOmZhbHNlLFxcdTAwMjJGbG9hdGluZ0hlYWRlckV4aXN0c1xc</vt:lpwstr>
  </property>
  <property fmtid="{D5CDD505-2E9C-101B-9397-08002B2CF9AE}" pid="32" name="GVData24">
    <vt:lpwstr>dTAwMjI6ZmFsc2UsXFx1MDAyMk5vbkdWSGVhZGVyU2hhcGVFeGlzdHNcXHUwMDIyOmZhbHNlLFxcdTAwMjJUaGlyZFBhcnR5SGVhZGVyc1xcdTAwMjI6W10sXFx1MDAyMkZvb3Rlck1ldGFkYXRhXFx1MDAyMjpcXHUwMDIyXFx1MDAzQ2RpdiBzdHlsZT1cXFxcXFx1</vt:lpwstr>
  </property>
  <property fmtid="{D5CDD505-2E9C-101B-9397-08002B2CF9AE}" pid="33" name="GVData25">
    <vt:lpwstr>MDAyMnRleHQtYWxpZ246Y2VudGVyXFxcXFxcdTAwMjJcXHUwMDNFXFx1MDAzQ3NwYW4gc3R5bGU9XFxcXFxcdTAwMjJjb2xvcjojRkZCRjAwO1xcXFxcXHUwMDIyXFx1MDAzRVxcdTAwM0NzcGFuXFx1MDAzRVxcdTAwM0NzdHJvbmdcXHUwMDNFQ2xhc3NpZmllZCBh</vt:lpwstr>
  </property>
  <property fmtid="{D5CDD505-2E9C-101B-9397-08002B2CF9AE}" pid="34" name="GVData26">
    <vt:lpwstr>cyBcXHUwNjQ1XFx1MDY0MlxcdTA2NEFcXHUwNjJGLyBSZXN0cmljdGVkXFx1MDAzQy9zdHJvbmdcXHUwMDNFXFx1MDAzQy9zcGFuXFx1MDAzRVxcdTAwM0Mvc3BhblxcdTAwM0VcXHUwMDNDL2RpdlxcdTAwM0VcXHUwMDIyLFxcdTAwMjJUaGlyZFBhcnR5Rm9vdGVy</vt:lpwstr>
  </property>
  <property fmtid="{D5CDD505-2E9C-101B-9397-08002B2CF9AE}" pid="35" name="GVData27">
    <vt:lpwstr>TWV0YWRhdGFcXHUwMDIyOlxcdTAwMjJcXHUwMDIyLFxcdTAwMjJHVkZvb3RlckV4aXN0c1xcdTAwMjI6ZmFsc2UsXFx1MDAyMk5vbkdWRm9vdGVyRXhpc3RzXFx1MDAyMjpmYWxzZSxcXHUwMDIyRmxvYXRpbmdGb290ZXJFeGlzdHNcXHUwMDIyOnRydWUsXFx1MDAy</vt:lpwstr>
  </property>
  <property fmtid="{D5CDD505-2E9C-101B-9397-08002B2CF9AE}" pid="36" name="GVData28">
    <vt:lpwstr>Mk5vbkdWRm9vdGVyU2hhcGVFeGlzdHNcXHUwMDIyOmZhbHNlLFxcdTAwMjJUaGlyZFBhcnR5Rm9vdGVyc1xcdTAwMjI6W10sXFx1MDAyMldhdGVybWFya01ldGFkYXRhXFx1MDAyMjpcXHUwMDIyXFx1MDAyMixcXHUwMDIyV2F0ZXJtYXJrRXhpc3RzXFx1MDAyMjpm</vt:lpwstr>
  </property>
  <property fmtid="{D5CDD505-2E9C-101B-9397-08002B2CF9AE}" pid="37" name="GVData29">
    <vt:lpwstr>YWxzZSxcXHUwMDIyUG93ZXJwb2ludFRpdGxlTWV0YWRhdGFcXHUwMDIyOm51bGwsXFx1MDAyMlBvd2VycG9pbnRTdWJ0aXRsZU1ldGFkYXRhXFx1MDAyMjpudWxsLFxcdTAwMjJUaGlyZFBhcnR5TWV0YWRhdGFGb3VuZFxcdTAwMjI6ZmFsc2V9XHUwMDIyXHJcbn0i</vt:lpwstr>
  </property>
  <property fmtid="{D5CDD505-2E9C-101B-9397-08002B2CF9AE}" pid="38" name="GVData34">
    <vt:lpwstr>(end)</vt:lpwstr>
  </property>
  <property fmtid="{D5CDD505-2E9C-101B-9397-08002B2CF9AE}" pid="39" name="GVData1">
    <vt:lpwstr>MjJQYWdlQ291bnRcXHUwMDIyOjE0LFxcdTAwMjJIZWFkZXJNZXRhZGF0YVxcdTAwMjI6XFx1MDAyMlxcdTAwMjIsXFx1MDAyMlRoaXJkUGFydHlIZWFkZXJNZXRhZGF0YVxcdTAwMjI6XFx1MDAyMlxcdTAwMjIsXFx1MDAyMkdWSGVhZGVyRXhpc3RzXFx1MDAyMjpm</vt:lpwstr>
  </property>
  <property fmtid="{D5CDD505-2E9C-101B-9397-08002B2CF9AE}" pid="40" name="GVData22">
    <vt:lpwstr>dFBhZ2VEaWZmZXJlbnRcXHUwMDIyOmZhbHNlLFxcdTAwMjJEaWZmZXJlbnRPZGRBbmRFdmVuUGFnZXNcXHUwMDIyOmZhbHNlLFxcdTAwMjJQYWdlQ291bnRcXHUwMDIyOjE0LFxcdTAwMjJIZWFkZXJNZXRhZGF0YVxcdTAwMjI6XFx1MDAyMlxcdTAwMjIsXFx1MDAy</vt:lpwstr>
  </property>
  <property fmtid="{D5CDD505-2E9C-101B-9397-08002B2CF9AE}" pid="41" name="TagDateTime">
    <vt:lpwstr>2025-12-22T06:21:37Z</vt:lpwstr>
  </property>
  <property fmtid="{D5CDD505-2E9C-101B-9397-08002B2CF9AE}" pid="42" name="GVData30">
    <vt:lpwstr>LA0KICAibGluZUlkIjogImRiOWJlY2QzLWM3OTEtNGM1OS1hYTBlLTc4MTM2NDE5ZDgwMiIsDQogICJwYXJlbnRMaW5lSWRzIjogIltcdTAwMjJiMzE5NTQ2Mi0yNGE4LTRkYmItYTJkNS04MWE5NGNhYzA2YzRcdTAwMjIsXHUwMDIyMzU4NjBkYmMtOWU0Ny00Njdi</vt:lpwstr>
  </property>
  <property fmtid="{D5CDD505-2E9C-101B-9397-08002B2CF9AE}" pid="43" name="GVData31">
    <vt:lpwstr>LTgzYTAtMGU4OTVmZDA2YzBjXHUwMDIyLFx1MDAyMjk3ODYwY2IxLWY2MTYtNGFlNC1hZjM2LThhZWI3YmFlMDVmNlx1MDAyMixcdTAwMjIxMTUyMTUyMi1mZWVlLTRjMzMtYWU3OC0yMzA2N2FjZjQ4NGZcdTAwMjIsXHUwMDIyMTMzYzNiNDUtYzdkZC00MzUwLWI0</vt:lpwstr>
  </property>
  <property fmtid="{D5CDD505-2E9C-101B-9397-08002B2CF9AE}" pid="44" name="GVData32">
    <vt:lpwstr>NzQtYzg1MzZhZWY1ZjIyXHUwMDIyLFx1MDAyMjEzYTcxMTg2LWMwZjYtNDgwMS1iMzZiLWQxZjRhYjliOTY3MVx1MDAyMixcdTAwMjIyNDY1MzVmNC1lNWM3LTQ0MWUtYjY0ZS1kYjExMTQ1NzY5N2VcdTAwMjIsXHUwMDIyM2NjYmM2NDctZDYxMy00MWViLWIyYzUt</vt:lpwstr>
  </property>
  <property fmtid="{D5CDD505-2E9C-101B-9397-08002B2CF9AE}" pid="45" name="GVData33">
    <vt:lpwstr>MjFkNTE0OThmYjBhXHUwMDIyLFx1MDAyMmM4ZTRiNTFkLTg5NDktNGE5NC1iZjY4LWM5OTBkNjdmYzY4MVx1MDAyMixcdTAwMjIxZDllNGEzOS0yNDA1LTQxY2UtODhiNy1hZmYzYTExY2Y3ZDNcdTAwMjJdIg0KfQ==</vt:lpwstr>
  </property>
</Properties>
</file>