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B3A4B"/>
          <w:sz w:val="80"/>
          <w:szCs w:val="80"/>
        </w:rPr>
        <w:t xml:space="preserve">CII</w:t>
      </w:r>
    </w:p>
    <w:p>
      <w:pPr>
        <w:spacing w:after="40"/>
        <w:jc w:val="center"/>
      </w:pPr>
      <w:r>
        <w:rPr>
          <w:rFonts w:ascii="Arial" w:cs="Arial" w:eastAsia="Arial" w:hAnsi="Arial"/>
          <w:color w:val="555555"/>
          <w:sz w:val="28"/>
          <w:szCs w:val="28"/>
        </w:rPr>
        <w:t xml:space="preserve">Clinical Intelligence Infrastructure</w:t>
      </w:r>
    </w:p>
    <w:p>
      <w:pPr>
        <w:spacing w:after="80"/>
      </w:pPr>
    </w:p>
    <w:p>
      <w:pPr>
        <w:pBdr>
          <w:top w:val="single" w:color="1B3A4B" w:sz="6" w:space="12"/>
        </w:pBdr>
        <w:spacing w:after="200" w:before="200"/>
        <w:jc w:val="center"/>
      </w:pPr>
    </w:p>
    <w:p>
      <w:pPr>
        <w:spacing w:after="80"/>
        <w:jc w:val="center"/>
      </w:pPr>
      <w:r>
        <w:rPr>
          <w:rFonts w:ascii="Arial" w:cs="Arial" w:eastAsia="Arial" w:hAnsi="Arial"/>
          <w:b/>
          <w:bCs/>
          <w:color w:val="1B3A4B"/>
          <w:sz w:val="40"/>
          <w:szCs w:val="40"/>
        </w:rPr>
        <w:t xml:space="preserve">Pilot Program Proposal</w:t>
      </w:r>
    </w:p>
    <w:p>
      <w:pPr>
        <w:spacing w:after="40"/>
        <w:jc w:val="center"/>
      </w:pPr>
      <w:r>
        <w:rPr>
          <w:rFonts w:ascii="Arial" w:cs="Arial" w:eastAsia="Arial" w:hAnsi="Arial"/>
          <w:color w:val="444444"/>
          <w:sz w:val="28"/>
          <w:szCs w:val="28"/>
        </w:rPr>
        <w:t xml:space="preserve">Care Hospitals — Phase 1</w:t>
      </w:r>
    </w:p>
    <w:p>
      <w:pPr>
        <w:spacing w:after="80"/>
      </w:pPr>
    </w:p>
    <w:p>
      <w:pPr>
        <w:spacing w:after="80"/>
      </w:pPr>
    </w:p>
    <w:p>
      <w:pPr>
        <w:spacing w:after="80"/>
      </w:pPr>
    </w:p>
    <w:p>
      <w:pPr>
        <w:spacing w:after="40"/>
        <w:jc w:val="center"/>
      </w:pPr>
      <w:r>
        <w:rPr>
          <w:rFonts w:ascii="Arial" w:cs="Arial" w:eastAsia="Arial" w:hAnsi="Arial"/>
          <w:color w:val="777777"/>
          <w:sz w:val="22"/>
          <w:szCs w:val="22"/>
        </w:rPr>
        <w:t xml:space="preserve">Version 1.0 | March 2026</w:t>
      </w:r>
    </w:p>
    <w:p>
      <w:pPr>
        <w:spacing w:after="40"/>
        <w:jc w:val="center"/>
      </w:pPr>
      <w:r>
        <w:rPr>
          <w:rFonts w:ascii="Arial" w:cs="Arial" w:eastAsia="Arial" w:hAnsi="Arial"/>
          <w:color w:val="777777"/>
          <w:sz w:val="22"/>
          <w:szCs w:val="22"/>
        </w:rPr>
        <w:t xml:space="preserve">Prepared by: Theeb Technology Group (TTG)</w:t>
      </w: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CC0000"/>
          <w:sz w:val="20"/>
          <w:szCs w:val="20"/>
        </w:rPr>
        <w:t xml:space="preserve">Confidential — For Authorized Parties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1. Executive Summary</w:t>
      </w:r>
    </w:p>
    <w:p>
      <w:pPr>
        <w:spacing w:after="180"/>
      </w:pPr>
      <w:r>
        <w:rPr>
          <w:rFonts w:ascii="Arial" w:cs="Arial" w:eastAsia="Arial" w:hAnsi="Arial"/>
          <w:b w:val="false"/>
          <w:bCs w:val="false"/>
          <w:i w:val="false"/>
          <w:iCs w:val="false"/>
          <w:color w:val="333333"/>
          <w:sz w:val="21"/>
          <w:szCs w:val="21"/>
        </w:rPr>
        <w:t xml:space="preserve">CII (Clinical Intelligence Infrastructure) is a sovereign clinical intelligence platform being developed by Theeb Technology Group (TTG) as the national healthcare AI infrastructure for Saudi Arabia.</w:t>
      </w:r>
    </w:p>
    <w:p>
      <w:pPr>
        <w:spacing w:after="180"/>
      </w:pPr>
      <w:r>
        <w:rPr>
          <w:rFonts w:ascii="Arial" w:cs="Arial" w:eastAsia="Arial" w:hAnsi="Arial"/>
          <w:b w:val="false"/>
          <w:bCs w:val="false"/>
          <w:i w:val="false"/>
          <w:iCs w:val="false"/>
          <w:color w:val="333333"/>
          <w:sz w:val="21"/>
          <w:szCs w:val="21"/>
        </w:rPr>
        <w:t xml:space="preserve">This proposal outlines the Phase 1 pilot deployment at Care Hospitals — a 6-month program to validate CII in a live clinical environment with real physicians, real patients, and real clinical decisions.</w:t>
      </w:r>
    </w:p>
    <w:p>
      <w:pPr>
        <w:spacing w:after="180"/>
      </w:pPr>
      <w:r>
        <w:rPr>
          <w:rFonts w:ascii="Arial" w:cs="Arial" w:eastAsia="Arial" w:hAnsi="Arial"/>
          <w:b w:val="false"/>
          <w:bCs w:val="false"/>
          <w:i w:val="false"/>
          <w:iCs w:val="false"/>
          <w:color w:val="333333"/>
          <w:sz w:val="21"/>
          <w:szCs w:val="21"/>
        </w:rPr>
        <w:t xml:space="preserve">The pilot brings together five stakeholder groups: TTG-CII (platform owner), Care Hospitals (deployment site), a technology engine provider (clinical AI), TKG ecosystem entities (scientific governance), and regulatory bodies including CHI (Council of Health Insurance).</w:t>
      </w:r>
    </w:p>
    <w:p>
      <w:pPr>
        <w:spacing w:after="180"/>
      </w:pPr>
      <w:r>
        <w:rPr>
          <w:rFonts w:ascii="Arial" w:cs="Arial" w:eastAsia="Arial" w:hAnsi="Arial"/>
          <w:b w:val="false"/>
          <w:bCs w:val="false"/>
          <w:i w:val="false"/>
          <w:iCs w:val="false"/>
          <w:color w:val="333333"/>
          <w:sz w:val="21"/>
          <w:szCs w:val="21"/>
        </w:rPr>
        <w:t xml:space="preserve">This document serves as the operational blueprint for all parties — defining roles, governance, workstreams, timeline, and success metrics.</w:t>
      </w:r>
    </w:p>
    <w:p>
      <w:pPr>
        <w:spacing w:after="80"/>
      </w:pPr>
    </w:p>
    <w:p>
      <w:pPr>
        <w:pStyle w:val="Heading1"/>
        <w:spacing w:after="200" w:before="360"/>
      </w:pPr>
      <w:r>
        <w:rPr>
          <w:rFonts w:ascii="Arial" w:cs="Arial" w:eastAsia="Arial" w:hAnsi="Arial"/>
        </w:rPr>
        <w:t xml:space="preserve">2. Pilot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Objective</w:t>
            </w:r>
          </w:p>
        </w:tc>
        <w:tc>
          <w:tcPr>
            <w:tcW w:type="dxa" w:w="63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Success Criteria</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Physician Adoption</w:t>
            </w:r>
          </w:p>
        </w:tc>
        <w:tc>
          <w:tcPr>
            <w:tcW w:type="dxa" w:w="6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30+ daily active users by month 3; 80+ by month 6</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Clinical Usefulness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Physicians report improved evidence retrieval speed and diagnostic confidence</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Knowledge Generation</w:t>
            </w:r>
          </w:p>
        </w:tc>
        <w:tc>
          <w:tcPr>
            <w:tcW w:type="dxa" w:w="6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200+ structured knowledge entries by month 3; 1,000+ by month 6</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Real-World Data Creation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2+ RWE-ready datasets by month 3; 5+ by month 6</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Economic Viability</w:t>
            </w:r>
          </w:p>
        </w:tc>
        <w:tc>
          <w:tcPr>
            <w:tcW w:type="dxa" w:w="6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Per-physician and per-hospital unit economics validated for national scale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Regulatory Readiness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SFDA digital health pathway initiated; CHI alignment confirmed</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Scientific Governance</w:t>
            </w:r>
          </w:p>
        </w:tc>
        <w:tc>
          <w:tcPr>
            <w:tcW w:type="dxa" w:w="6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At least 2 Saudi scientific societies actively governing CII outputs</w:t>
            </w:r>
          </w:p>
        </w:tc>
      </w:tr>
    </w:tbl>
    <w:p>
      <w:pPr>
        <w:spacing w:after="80"/>
      </w:pPr>
    </w:p>
    <w:p>
      <w:pPr>
        <w:pStyle w:val="Heading1"/>
        <w:spacing w:after="200" w:before="360"/>
      </w:pPr>
      <w:r>
        <w:rPr>
          <w:rFonts w:ascii="Arial" w:cs="Arial" w:eastAsia="Arial" w:hAnsi="Arial"/>
        </w:rPr>
        <w:t xml:space="preserve">3. Parties and Stakeholders</w:t>
      </w:r>
    </w:p>
    <w:p>
      <w:pPr>
        <w:pStyle w:val="Heading2"/>
        <w:spacing w:after="160" w:before="280"/>
      </w:pPr>
      <w:r>
        <w:rPr>
          <w:rFonts w:ascii="Arial" w:cs="Arial" w:eastAsia="Arial" w:hAnsi="Arial"/>
        </w:rPr>
        <w:t xml:space="preserve">3.1 Core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60"/>
        <w:gridCol w:w="2000"/>
      </w:tblGrid>
      <w:tr>
        <w:tc>
          <w:tcPr>
            <w:tcW w:type="dxa" w:w="18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Party</w:t>
            </w:r>
          </w:p>
        </w:tc>
        <w:tc>
          <w:tcPr>
            <w:tcW w:type="dxa" w:w="22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33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0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Key Contact</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Platform Owner</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TTG-CII (Theeb Technology Group)</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Project sponsor, strategic direction, platform ownership, ecosystem orchestration</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Dr. Theeb (Founder &amp; CEO)</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Pilot Site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Care Hospitals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Clinical deployment environment, physician access, IRB approval, data governance, co-publication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CMO + Academy Directors</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Technology Engine</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[Technology Partner]</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Clinical AI engine delivery, MVP deployment, Saudi hosting, technical support, SLA compliance</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Technical Lead (TBC)</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CTO</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THDG CTO (dual-hatted)</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Technical architecture, integration oversight, security, infrastructure decisions, vendor evaluation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THDG CTO</w:t>
            </w:r>
          </w:p>
        </w:tc>
      </w:tr>
    </w:tbl>
    <w:p>
      <w:pPr>
        <w:spacing w:after="80"/>
      </w:pPr>
    </w:p>
    <w:p>
      <w:pPr>
        <w:pStyle w:val="Heading2"/>
        <w:spacing w:after="160" w:before="280"/>
      </w:pPr>
      <w:r>
        <w:rPr>
          <w:rFonts w:ascii="Arial" w:cs="Arial" w:eastAsia="Arial" w:hAnsi="Arial"/>
        </w:rPr>
        <w:t xml:space="preserve">3.2 Ecosystem Parties (TKG — Theeb Knowledge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43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Role in Pilot</w:t>
            </w:r>
          </w:p>
        </w:tc>
        <w:tc>
          <w:tcPr>
            <w:tcW w:type="dxa" w:w="18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Activation</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TKG — Scientific Societies</w:t>
            </w:r>
          </w:p>
        </w:tc>
        <w:tc>
          <w:tcPr>
            <w:tcW w:type="dxa" w:w="4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Clinical governance — validate CII outputs per specialty domain</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Month 1</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TKG — Waraqa (Publishing)</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Publication channel for pilot-generated guidelines and evidence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Month 3+</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TKG — Nama Academy (Education)</w:t>
            </w:r>
          </w:p>
        </w:tc>
        <w:tc>
          <w:tcPr>
            <w:tcW w:type="dxa" w:w="4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CME credit accreditation for physician incentive system; SCFHS liaison</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Month 1</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TKG — Nama CRO (Research)</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Research design for RWE studies generated from pilot data</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Month 3+</w:t>
            </w:r>
          </w:p>
        </w:tc>
      </w:tr>
    </w:tbl>
    <w:p>
      <w:pPr>
        <w:spacing w:after="80"/>
      </w:pPr>
    </w:p>
    <w:p>
      <w:pPr>
        <w:pStyle w:val="Heading2"/>
        <w:spacing w:after="160" w:before="280"/>
      </w:pPr>
      <w:r>
        <w:rPr>
          <w:rFonts w:ascii="Arial" w:cs="Arial" w:eastAsia="Arial" w:hAnsi="Arial"/>
        </w:rPr>
        <w:t xml:space="preserve">3.3 Regulatory and Government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Body</w:t>
            </w:r>
          </w:p>
        </w:tc>
        <w:tc>
          <w:tcPr>
            <w:tcW w:type="dxa" w:w="47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Relevance to Pilot</w:t>
            </w:r>
          </w:p>
        </w:tc>
        <w:tc>
          <w:tcPr>
            <w:tcW w:type="dxa" w:w="18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Engagement</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CHI (Council of Health Insurance)</w:t>
            </w:r>
          </w:p>
        </w:tc>
        <w:tc>
          <w:tcPr>
            <w:tcW w:type="dxa" w:w="4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MNC alignment, Saudi AR-DRG shadow billing, VBHC initiatives — CII as clinical intelligence layer supporting reimbursement transformation</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Month 2+</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SFDA</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Digital health product registration — CII as Class I/II clinical decision support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Month 3+</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SCFHS</w:t>
            </w:r>
          </w:p>
        </w:tc>
        <w:tc>
          <w:tcPr>
            <w:tcW w:type="dxa" w:w="4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CME credit pathway accreditation — physician contribution system as accredited CPD</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Month 2+</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MOH</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National clinical decision support infrastructure candidacy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Month 4+</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Ministry of Education / SDL</w:t>
            </w:r>
          </w:p>
        </w:tc>
        <w:tc>
          <w:tcPr>
            <w:tcW w:type="dxa" w:w="4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Closed-access journal licensing for CII evidence layer enrichment</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Month 6+</w:t>
            </w:r>
          </w:p>
        </w:tc>
      </w:tr>
    </w:tbl>
    <w:p>
      <w:r>
        <w:br w:type="page"/>
      </w:r>
    </w:p>
    <w:p>
      <w:pPr>
        <w:pStyle w:val="Heading1"/>
        <w:spacing w:after="200" w:before="360"/>
      </w:pPr>
      <w:r>
        <w:rPr>
          <w:rFonts w:ascii="Arial" w:cs="Arial" w:eastAsia="Arial" w:hAnsi="Arial"/>
        </w:rPr>
        <w:t xml:space="preserve">4. Entry Point — Clinical Evidence Assistant</w:t>
      </w:r>
    </w:p>
    <w:p>
      <w:pPr>
        <w:spacing w:after="180"/>
      </w:pPr>
      <w:r>
        <w:rPr>
          <w:rFonts w:ascii="Arial" w:cs="Arial" w:eastAsia="Arial" w:hAnsi="Arial"/>
          <w:b w:val="false"/>
          <w:bCs w:val="false"/>
          <w:i w:val="false"/>
          <w:iCs w:val="false"/>
          <w:color w:val="333333"/>
          <w:sz w:val="21"/>
          <w:szCs w:val="21"/>
        </w:rPr>
        <w:t xml:space="preserve">The CII pilot begins with the Clinical Evidence Assistant — a browser-based clinical intelligence tool deployed directly to physicians at the point of care.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63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Target User</w:t>
            </w:r>
          </w:p>
        </w:tc>
        <w:tc>
          <w:tcPr>
            <w:tcW w:type="dxa" w:w="6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Physicians — all specialties at Care Hospitals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Access Method</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Browser-based — no EHR integration required, no IT infrastructure changes</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Language Support</w:t>
            </w:r>
          </w:p>
        </w:tc>
        <w:tc>
          <w:tcPr>
            <w:tcW w:type="dxa" w:w="6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Arabic and English clinical queries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Core Functions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Evidence retrieval, differential diagnosis support, drug interaction screening, documentation assistance</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Workflow Impact</w:t>
            </w:r>
          </w:p>
        </w:tc>
        <w:tc>
          <w:tcPr>
            <w:tcW w:type="dxa" w:w="6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Zero disruption — embeds into existing clinical workflow</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Deployment Speed</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MVP ready within 7 days of branding materials delivery</w:t>
            </w:r>
          </w:p>
        </w:tc>
      </w:tr>
    </w:tbl>
    <w:p>
      <w:pPr>
        <w:spacing w:after="80"/>
      </w:pPr>
    </w:p>
    <w:p>
      <w:pPr>
        <w:spacing w:after="180"/>
      </w:pPr>
      <w:r>
        <w:rPr>
          <w:rFonts w:ascii="Arial" w:cs="Arial" w:eastAsia="Arial" w:hAnsi="Arial"/>
          <w:b w:val="false"/>
          <w:bCs w:val="false"/>
          <w:i/>
          <w:iCs/>
          <w:color w:val="333333"/>
          <w:sz w:val="21"/>
          <w:szCs w:val="21"/>
        </w:rPr>
        <w:t xml:space="preserve">Why this entry point: It requires no IT changes at Care Hospitals. Physicians start using it on day one. The data flywheel begins immediately. Every clinical query generates structured data that feeds all subsequent CII layers.</w:t>
      </w:r>
    </w:p>
    <w:p>
      <w:r>
        <w:br w:type="page"/>
      </w:r>
    </w:p>
    <w:p>
      <w:pPr>
        <w:pStyle w:val="Heading1"/>
        <w:spacing w:after="200" w:before="360"/>
      </w:pPr>
      <w:r>
        <w:rPr>
          <w:rFonts w:ascii="Arial" w:cs="Arial" w:eastAsia="Arial" w:hAnsi="Arial"/>
        </w:rPr>
        <w:t xml:space="preserve">5. Governance Structure — Team of Teams</w:t>
      </w:r>
    </w:p>
    <w:p>
      <w:pPr>
        <w:pStyle w:val="Heading2"/>
        <w:spacing w:after="160" w:before="280"/>
      </w:pPr>
      <w:r>
        <w:rPr>
          <w:rFonts w:ascii="Arial" w:cs="Arial" w:eastAsia="Arial" w:hAnsi="Arial"/>
        </w:rPr>
        <w:t xml:space="preserve">5.1 Steering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9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Purpose</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Strategic oversight, milestone approval, Go/No-Go decisions, escalation resolution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Chair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Dr. Theeb (TTG-CII)</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Members</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Dr. Theeb (TTG-CII), Care Hospitals CMO, THDG CTO, Care Hospitals Academy Director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Frequency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Monthly (or ad-hoc for critical decisions)</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Authority</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Approves: pilot continuation/termination, scope changes, Phase 2 decision, external communications, regulatory submissions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Note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Technology engine provider is NOT a Steering Committee member. Invited for technical input only when required.</w:t>
            </w:r>
          </w:p>
        </w:tc>
      </w:tr>
    </w:tbl>
    <w:p>
      <w:pPr>
        <w:spacing w:after="80"/>
      </w:pPr>
    </w:p>
    <w:p>
      <w:pPr>
        <w:pStyle w:val="Heading2"/>
        <w:spacing w:after="160" w:before="280"/>
      </w:pPr>
      <w:r>
        <w:rPr>
          <w:rFonts w:ascii="Arial" w:cs="Arial" w:eastAsia="Arial" w:hAnsi="Arial"/>
        </w:rPr>
        <w:t xml:space="preserve">5.2 Team 1 — Clinical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8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Responsible Party</w:t>
            </w:r>
          </w:p>
        </w:tc>
        <w:tc>
          <w:tcPr>
            <w:tcW w:type="dxa" w:w="43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Key Responsibilities</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Clinical Champion</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Care Hospitals CMO</w:t>
            </w:r>
          </w:p>
        </w:tc>
        <w:tc>
          <w:tcPr>
            <w:tcW w:type="dxa" w:w="4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Drives physician adoption, resolves clinical workflow issues, executive sponsor on hospital side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Academy Liaison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Care Hospitals Academy Directors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Physician training program design, onboarding coordination, scientific output pipeline</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Department Leads</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3-5 specialty heads</w:t>
            </w:r>
          </w:p>
        </w:tc>
        <w:tc>
          <w:tcPr>
            <w:tcW w:type="dxa" w:w="4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Specialty-specific adoption, clinical feedback, high-value use case identification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IRB Coordinator</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Care Hospitals Research Office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Ethical approval, consent forms, data governance compliance, ethics monitoring</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IT Liaison</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Care Hospitals IT</w:t>
            </w:r>
          </w:p>
        </w:tc>
        <w:tc>
          <w:tcPr>
            <w:tcW w:type="dxa" w:w="4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Device setup, network access, troubleshooting, access management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Quality Officer</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Care Hospitals Quality Dept</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Workflow integration monitoring, patient safety oversight, incident reporting</w:t>
            </w:r>
          </w:p>
        </w:tc>
      </w:tr>
    </w:tbl>
    <w:p>
      <w:pPr>
        <w:spacing w:after="80"/>
      </w:pPr>
    </w:p>
    <w:p>
      <w:pPr>
        <w:pStyle w:val="Heading2"/>
        <w:spacing w:after="160" w:before="280"/>
      </w:pPr>
      <w:r>
        <w:rPr>
          <w:rFonts w:ascii="Arial" w:cs="Arial" w:eastAsia="Arial" w:hAnsi="Arial"/>
        </w:rPr>
        <w:t xml:space="preserve">5.3 Team 2 — Technical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8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Responsible Party</w:t>
            </w:r>
          </w:p>
        </w:tc>
        <w:tc>
          <w:tcPr>
            <w:tcW w:type="dxa" w:w="43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Key Responsibilities</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CTO (Technical Authority)</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THDG CTO</w:t>
            </w:r>
          </w:p>
        </w:tc>
        <w:tc>
          <w:tcPr>
            <w:tcW w:type="dxa" w:w="4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Architecture decisions, integration oversight, security standards, vendor evaluation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Product Manager</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TTG-CII</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Feature prioritization, physician feedback loop, UX decisions, roadmap management</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Technology Engine Lead</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[Technology Partner]</w:t>
            </w:r>
          </w:p>
        </w:tc>
        <w:tc>
          <w:tcPr>
            <w:tcW w:type="dxa" w:w="4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Engine deployment, performance optimization, updates, SLA compliance, Saudi hosting</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Data Engineer</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TTG-CII</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Data pipeline architecture, de-identification, RWE dataset structuring, data quality</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DevOps / Infrastructure</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TTG-CII</w:t>
            </w:r>
          </w:p>
        </w:tc>
        <w:tc>
          <w:tcPr>
            <w:tcW w:type="dxa" w:w="4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Saudi hosting oversight, uptime monitoring, backup, disaster recovery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QA / Testing</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TTG-CII</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Clinical accuracy testing, regression testing, physician UAT coordination</w:t>
            </w:r>
          </w:p>
        </w:tc>
      </w:tr>
    </w:tbl>
    <w:p>
      <w:pPr>
        <w:spacing w:after="80"/>
      </w:pPr>
    </w:p>
    <w:p>
      <w:pPr>
        <w:pStyle w:val="Heading2"/>
        <w:spacing w:after="160" w:before="280"/>
      </w:pPr>
      <w:r>
        <w:rPr>
          <w:rFonts w:ascii="Arial" w:cs="Arial" w:eastAsia="Arial" w:hAnsi="Arial"/>
        </w:rPr>
        <w:t xml:space="preserve">5.4 Team 3 — Scientific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8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Responsible Party</w:t>
            </w:r>
          </w:p>
        </w:tc>
        <w:tc>
          <w:tcPr>
            <w:tcW w:type="dxa" w:w="43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Key Responsibilities</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Scientific Director</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Dr. Theeb / TKG</w:t>
            </w:r>
          </w:p>
        </w:tc>
        <w:tc>
          <w:tcPr>
            <w:tcW w:type="dxa" w:w="4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Scientific quality standards, society relationship management, publication strategy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Society Representatives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Saudi scientific societies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Review and validate CII clinical outputs per domain, ensure guideline alignment</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Publishing Coordinator</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TKG Waraqa</w:t>
            </w:r>
          </w:p>
        </w:tc>
        <w:tc>
          <w:tcPr>
            <w:tcW w:type="dxa" w:w="4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Pilot-to-publication pipeline, co-authorship coordination with Care Hospitals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CME Coordinator</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TKG Nama Academy</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Physician token/incentive system, CME credit issuance, SCFHS liaison</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Research Coordinator</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TKG Nama CRO</w:t>
            </w:r>
          </w:p>
        </w:tc>
        <w:tc>
          <w:tcPr>
            <w:tcW w:type="dxa" w:w="4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RWE study design from pilot data, research output management, IRB coordination</w:t>
            </w:r>
          </w:p>
        </w:tc>
      </w:tr>
    </w:tbl>
    <w:p>
      <w:pPr>
        <w:spacing w:after="80"/>
      </w:pPr>
    </w:p>
    <w:p>
      <w:pPr>
        <w:pStyle w:val="Heading2"/>
        <w:spacing w:after="160" w:before="280"/>
      </w:pPr>
      <w:r>
        <w:rPr>
          <w:rFonts w:ascii="Arial" w:cs="Arial" w:eastAsia="Arial" w:hAnsi="Arial"/>
        </w:rPr>
        <w:t xml:space="preserve">5.5 Governance Principles</w:t>
      </w:r>
    </w:p>
    <w:p>
      <w:pPr>
        <w:pStyle w:val="ListParagraph"/>
        <w:numPr>
          <w:ilvl w:val="0"/>
          <w:numId w:val="2"/>
        </w:numPr>
        <w:spacing w:after="60"/>
      </w:pPr>
      <w:r>
        <w:rPr>
          <w:rFonts w:ascii="Arial" w:cs="Arial" w:eastAsia="Arial" w:hAnsi="Arial"/>
          <w:color w:val="333333"/>
          <w:sz w:val="21"/>
          <w:szCs w:val="21"/>
        </w:rPr>
        <w:t xml:space="preserve">All strategic decisions require Steering Committee approval</w:t>
      </w:r>
    </w:p>
    <w:p>
      <w:pPr>
        <w:pStyle w:val="ListParagraph"/>
        <w:numPr>
          <w:ilvl w:val="0"/>
          <w:numId w:val="2"/>
        </w:numPr>
        <w:spacing w:after="60"/>
      </w:pPr>
      <w:r>
        <w:rPr>
          <w:rFonts w:ascii="Arial" w:cs="Arial" w:eastAsia="Arial" w:hAnsi="Arial"/>
          <w:color w:val="333333"/>
          <w:sz w:val="21"/>
          <w:szCs w:val="21"/>
        </w:rPr>
        <w:t xml:space="preserve">Operational decisions are made by respective team leads within their domain</w:t>
      </w:r>
    </w:p>
    <w:p>
      <w:pPr>
        <w:pStyle w:val="ListParagraph"/>
        <w:numPr>
          <w:ilvl w:val="0"/>
          <w:numId w:val="2"/>
        </w:numPr>
        <w:spacing w:after="60"/>
      </w:pPr>
      <w:r>
        <w:rPr>
          <w:rFonts w:ascii="Arial" w:cs="Arial" w:eastAsia="Arial" w:hAnsi="Arial"/>
          <w:color w:val="333333"/>
          <w:sz w:val="21"/>
          <w:szCs w:val="21"/>
        </w:rPr>
        <w:t xml:space="preserve">Cross-team issues escalate: Project Manager → CTO → Steering Committee</w:t>
      </w:r>
    </w:p>
    <w:p>
      <w:pPr>
        <w:pStyle w:val="ListParagraph"/>
        <w:numPr>
          <w:ilvl w:val="0"/>
          <w:numId w:val="2"/>
        </w:numPr>
        <w:spacing w:after="60"/>
      </w:pPr>
      <w:r>
        <w:rPr>
          <w:rFonts w:ascii="Arial" w:cs="Arial" w:eastAsia="Arial" w:hAnsi="Arial"/>
          <w:color w:val="333333"/>
          <w:sz w:val="21"/>
          <w:szCs w:val="21"/>
        </w:rPr>
        <w:t xml:space="preserve">Technology engine provider participates in technical meetings only — no governance authority</w:t>
      </w:r>
    </w:p>
    <w:p>
      <w:pPr>
        <w:pStyle w:val="ListParagraph"/>
        <w:numPr>
          <w:ilvl w:val="0"/>
          <w:numId w:val="2"/>
        </w:numPr>
        <w:spacing w:after="60"/>
      </w:pPr>
      <w:r>
        <w:rPr>
          <w:rFonts w:ascii="Arial" w:cs="Arial" w:eastAsia="Arial" w:hAnsi="Arial"/>
          <w:color w:val="333333"/>
          <w:sz w:val="21"/>
          <w:szCs w:val="21"/>
        </w:rPr>
        <w:t xml:space="preserve">All external communications about CII require TTG-CII approval</w:t>
      </w:r>
    </w:p>
    <w:p>
      <w:pPr>
        <w:pStyle w:val="ListParagraph"/>
        <w:numPr>
          <w:ilvl w:val="0"/>
          <w:numId w:val="2"/>
        </w:numPr>
        <w:spacing w:after="60"/>
      </w:pPr>
      <w:r>
        <w:rPr>
          <w:rFonts w:ascii="Arial" w:cs="Arial" w:eastAsia="Arial" w:hAnsi="Arial"/>
          <w:color w:val="333333"/>
          <w:sz w:val="21"/>
          <w:szCs w:val="21"/>
        </w:rPr>
        <w:t xml:space="preserve">Scientific outputs require society validation before publication</w:t>
      </w:r>
    </w:p>
    <w:p>
      <w:pPr>
        <w:pStyle w:val="ListParagraph"/>
        <w:numPr>
          <w:ilvl w:val="0"/>
          <w:numId w:val="2"/>
        </w:numPr>
        <w:spacing w:after="60"/>
      </w:pPr>
      <w:r>
        <w:rPr>
          <w:rFonts w:ascii="Arial" w:cs="Arial" w:eastAsia="Arial" w:hAnsi="Arial"/>
          <w:color w:val="333333"/>
          <w:sz w:val="21"/>
          <w:szCs w:val="21"/>
        </w:rPr>
        <w:t xml:space="preserve">Data access requests require TTG-CII and IRB approval</w:t>
      </w:r>
    </w:p>
    <w:p>
      <w:r>
        <w:br w:type="page"/>
      </w:r>
    </w:p>
    <w:p>
      <w:pPr>
        <w:pStyle w:val="Heading1"/>
        <w:spacing w:after="200" w:before="360"/>
      </w:pPr>
      <w:r>
        <w:rPr>
          <w:rFonts w:ascii="Arial" w:cs="Arial" w:eastAsia="Arial" w:hAnsi="Arial"/>
        </w:rPr>
        <w:t xml:space="preserve">6. CHI Strategic Alignment</w:t>
      </w:r>
    </w:p>
    <w:p>
      <w:pPr>
        <w:spacing w:after="180"/>
      </w:pPr>
      <w:r>
        <w:rPr>
          <w:rFonts w:ascii="Arial" w:cs="Arial" w:eastAsia="Arial" w:hAnsi="Arial"/>
          <w:b w:val="false"/>
          <w:bCs w:val="false"/>
          <w:i w:val="false"/>
          <w:iCs w:val="false"/>
          <w:color w:val="333333"/>
          <w:sz w:val="21"/>
          <w:szCs w:val="21"/>
        </w:rPr>
        <w:t xml:space="preserve">The Council of Health Insurance (CHI) is transforming Saudi Arabia’s healthcare reimbursement and quality landscape through several initiatives that CII directly supports:</w:t>
      </w:r>
    </w:p>
    <w:p>
      <w:pPr>
        <w:spacing w:after="80"/>
      </w:pPr>
    </w:p>
    <w:p>
      <w:pPr>
        <w:pStyle w:val="Heading2"/>
        <w:spacing w:after="160" w:before="280"/>
      </w:pPr>
      <w:r>
        <w:rPr>
          <w:rFonts w:ascii="Arial" w:cs="Arial" w:eastAsia="Arial" w:hAnsi="Arial"/>
        </w:rPr>
        <w:t xml:space="preserve">6.1 Model of National Care (MNC)</w:t>
      </w:r>
    </w:p>
    <w:p>
      <w:pPr>
        <w:spacing w:after="180"/>
      </w:pPr>
      <w:r>
        <w:rPr>
          <w:rFonts w:ascii="Arial" w:cs="Arial" w:eastAsia="Arial" w:hAnsi="Arial"/>
          <w:b w:val="false"/>
          <w:bCs w:val="false"/>
          <w:i w:val="false"/>
          <w:iCs w:val="false"/>
          <w:color w:val="333333"/>
          <w:sz w:val="21"/>
          <w:szCs w:val="21"/>
        </w:rPr>
        <w:t xml:space="preserve">CII supports MNC implementation by providing real-time clinical decision support that aligns physician behavior with national care pathways. CII-generated data can validate MNC pathway adherence and identify variation across providers and specialties.</w:t>
      </w:r>
    </w:p>
    <w:p>
      <w:pPr>
        <w:pStyle w:val="Heading2"/>
        <w:spacing w:after="160" w:before="280"/>
      </w:pPr>
      <w:r>
        <w:rPr>
          <w:rFonts w:ascii="Arial" w:cs="Arial" w:eastAsia="Arial" w:hAnsi="Arial"/>
        </w:rPr>
        <w:t xml:space="preserve">6.2 Saudi AR-DRG Shadow Billing</w:t>
      </w:r>
    </w:p>
    <w:p>
      <w:pPr>
        <w:spacing w:after="180"/>
      </w:pPr>
      <w:r>
        <w:rPr>
          <w:rFonts w:ascii="Arial" w:cs="Arial" w:eastAsia="Arial" w:hAnsi="Arial"/>
          <w:b w:val="false"/>
          <w:bCs w:val="false"/>
          <w:i w:val="false"/>
          <w:iCs w:val="false"/>
          <w:color w:val="333333"/>
          <w:sz w:val="21"/>
          <w:szCs w:val="21"/>
        </w:rPr>
        <w:t xml:space="preserve">CII’s documentation AI layer (Layer 4) can support shadow billing exercises by:</w:t>
      </w:r>
    </w:p>
    <w:p>
      <w:pPr>
        <w:pStyle w:val="ListParagraph"/>
        <w:numPr>
          <w:ilvl w:val="0"/>
          <w:numId w:val="2"/>
        </w:numPr>
        <w:spacing w:after="60"/>
      </w:pPr>
      <w:r>
        <w:rPr>
          <w:rFonts w:ascii="Arial" w:cs="Arial" w:eastAsia="Arial" w:hAnsi="Arial"/>
          <w:color w:val="333333"/>
          <w:sz w:val="21"/>
          <w:szCs w:val="21"/>
        </w:rPr>
        <w:t xml:space="preserve">Generating structured clinical documentation aligned with AR-DRG coding requirements</w:t>
      </w:r>
    </w:p>
    <w:p>
      <w:pPr>
        <w:pStyle w:val="ListParagraph"/>
        <w:numPr>
          <w:ilvl w:val="0"/>
          <w:numId w:val="2"/>
        </w:numPr>
        <w:spacing w:after="60"/>
      </w:pPr>
      <w:r>
        <w:rPr>
          <w:rFonts w:ascii="Arial" w:cs="Arial" w:eastAsia="Arial" w:hAnsi="Arial"/>
          <w:color w:val="333333"/>
          <w:sz w:val="21"/>
          <w:szCs w:val="21"/>
        </w:rPr>
        <w:t xml:space="preserve">Providing automated ICD-10 and procedure code suggestions from clinical encounters</w:t>
      </w:r>
    </w:p>
    <w:p>
      <w:pPr>
        <w:pStyle w:val="ListParagraph"/>
        <w:numPr>
          <w:ilvl w:val="0"/>
          <w:numId w:val="2"/>
        </w:numPr>
        <w:spacing w:after="60"/>
      </w:pPr>
      <w:r>
        <w:rPr>
          <w:rFonts w:ascii="Arial" w:cs="Arial" w:eastAsia="Arial" w:hAnsi="Arial"/>
          <w:color w:val="333333"/>
          <w:sz w:val="21"/>
          <w:szCs w:val="21"/>
        </w:rPr>
        <w:t xml:space="preserve">Creating audit trails linking clinical decisions to coding outcomes</w:t>
      </w:r>
    </w:p>
    <w:p>
      <w:pPr>
        <w:pStyle w:val="ListParagraph"/>
        <w:numPr>
          <w:ilvl w:val="0"/>
          <w:numId w:val="2"/>
        </w:numPr>
        <w:spacing w:after="60"/>
      </w:pPr>
      <w:r>
        <w:rPr>
          <w:rFonts w:ascii="Arial" w:cs="Arial" w:eastAsia="Arial" w:hAnsi="Arial"/>
          <w:color w:val="333333"/>
          <w:sz w:val="21"/>
          <w:szCs w:val="21"/>
        </w:rPr>
        <w:t xml:space="preserve">Enabling real-time documentation quality monitoring for AR-DRG readiness</w:t>
      </w:r>
    </w:p>
    <w:p>
      <w:pPr>
        <w:spacing w:after="80"/>
      </w:pPr>
    </w:p>
    <w:p>
      <w:pPr>
        <w:spacing w:after="180"/>
      </w:pPr>
      <w:r>
        <w:rPr>
          <w:rFonts w:ascii="Arial" w:cs="Arial" w:eastAsia="Arial" w:hAnsi="Arial"/>
          <w:b w:val="false"/>
          <w:bCs w:val="false"/>
          <w:i/>
          <w:iCs/>
          <w:color w:val="333333"/>
          <w:sz w:val="21"/>
          <w:szCs w:val="21"/>
        </w:rPr>
        <w:t xml:space="preserve">During the pilot, CII can run shadow billing analysis on pilot encounters — generating coding data without affecting actual billing. This provides CHI with real-world validation data.</w:t>
      </w:r>
    </w:p>
    <w:p>
      <w:pPr>
        <w:pStyle w:val="Heading2"/>
        <w:spacing w:after="160" w:before="280"/>
      </w:pPr>
      <w:r>
        <w:rPr>
          <w:rFonts w:ascii="Arial" w:cs="Arial" w:eastAsia="Arial" w:hAnsi="Arial"/>
        </w:rPr>
        <w:t xml:space="preserve">6.3 Value-Based Healthcare (VBHC)</w:t>
      </w:r>
    </w:p>
    <w:p>
      <w:pPr>
        <w:spacing w:after="180"/>
      </w:pPr>
      <w:r>
        <w:rPr>
          <w:rFonts w:ascii="Arial" w:cs="Arial" w:eastAsia="Arial" w:hAnsi="Arial"/>
          <w:b w:val="false"/>
          <w:bCs w:val="false"/>
          <w:i w:val="false"/>
          <w:iCs w:val="false"/>
          <w:color w:val="333333"/>
          <w:sz w:val="21"/>
          <w:szCs w:val="21"/>
        </w:rPr>
        <w:t xml:space="preserve">CII’s Patient Intelligence (Layer 6) and Real-World Evidence (Layer 7) directly feed VBHC programs:</w:t>
      </w:r>
    </w:p>
    <w:p>
      <w:pPr>
        <w:pStyle w:val="ListParagraph"/>
        <w:numPr>
          <w:ilvl w:val="0"/>
          <w:numId w:val="2"/>
        </w:numPr>
        <w:spacing w:after="60"/>
      </w:pPr>
      <w:r>
        <w:rPr>
          <w:rFonts w:ascii="Arial" w:cs="Arial" w:eastAsia="Arial" w:hAnsi="Arial"/>
          <w:color w:val="333333"/>
          <w:sz w:val="21"/>
          <w:szCs w:val="21"/>
        </w:rPr>
        <w:t xml:space="preserve">Patient outcome tracking across clinical encounters</w:t>
      </w:r>
    </w:p>
    <w:p>
      <w:pPr>
        <w:pStyle w:val="ListParagraph"/>
        <w:numPr>
          <w:ilvl w:val="0"/>
          <w:numId w:val="2"/>
        </w:numPr>
        <w:spacing w:after="60"/>
      </w:pPr>
      <w:r>
        <w:rPr>
          <w:rFonts w:ascii="Arial" w:cs="Arial" w:eastAsia="Arial" w:hAnsi="Arial"/>
          <w:color w:val="333333"/>
          <w:sz w:val="21"/>
          <w:szCs w:val="21"/>
        </w:rPr>
        <w:t xml:space="preserve">Treatment comparative effectiveness data</w:t>
      </w:r>
    </w:p>
    <w:p>
      <w:pPr>
        <w:pStyle w:val="ListParagraph"/>
        <w:numPr>
          <w:ilvl w:val="0"/>
          <w:numId w:val="2"/>
        </w:numPr>
        <w:spacing w:after="60"/>
      </w:pPr>
      <w:r>
        <w:rPr>
          <w:rFonts w:ascii="Arial" w:cs="Arial" w:eastAsia="Arial" w:hAnsi="Arial"/>
          <w:color w:val="333333"/>
          <w:sz w:val="21"/>
          <w:szCs w:val="21"/>
        </w:rPr>
        <w:t xml:space="preserve">Cost-per-outcome analysis at the population level</w:t>
      </w:r>
    </w:p>
    <w:p>
      <w:pPr>
        <w:pStyle w:val="ListParagraph"/>
        <w:numPr>
          <w:ilvl w:val="0"/>
          <w:numId w:val="2"/>
        </w:numPr>
        <w:spacing w:after="60"/>
      </w:pPr>
      <w:r>
        <w:rPr>
          <w:rFonts w:ascii="Arial" w:cs="Arial" w:eastAsia="Arial" w:hAnsi="Arial"/>
          <w:color w:val="333333"/>
          <w:sz w:val="21"/>
          <w:szCs w:val="21"/>
        </w:rPr>
        <w:t xml:space="preserve">Evidence packages for value-based contract negotiations between payers and providers</w:t>
      </w:r>
    </w:p>
    <w:p>
      <w:pPr>
        <w:pStyle w:val="Heading2"/>
        <w:spacing w:after="160" w:before="280"/>
      </w:pPr>
      <w:r>
        <w:rPr>
          <w:rFonts w:ascii="Arial" w:cs="Arial" w:eastAsia="Arial" w:hAnsi="Arial"/>
        </w:rPr>
        <w:t xml:space="preserve">6.4 Pilot Deliverables for CHI</w:t>
      </w:r>
    </w:p>
    <w:p>
      <w:pPr>
        <w:spacing w:after="180"/>
      </w:pPr>
      <w:r>
        <w:rPr>
          <w:rFonts w:ascii="Arial" w:cs="Arial" w:eastAsia="Arial" w:hAnsi="Arial"/>
          <w:b w:val="false"/>
          <w:bCs w:val="false"/>
          <w:i w:val="false"/>
          <w:iCs w:val="false"/>
          <w:color w:val="333333"/>
          <w:sz w:val="21"/>
          <w:szCs w:val="21"/>
        </w:rPr>
        <w:t xml:space="preserve">By month 6, the pilot can deliver to CHI:</w:t>
      </w:r>
    </w:p>
    <w:p>
      <w:pPr>
        <w:pStyle w:val="ListParagraph"/>
        <w:numPr>
          <w:ilvl w:val="0"/>
          <w:numId w:val="2"/>
        </w:numPr>
        <w:spacing w:after="60"/>
      </w:pPr>
      <w:r>
        <w:rPr>
          <w:rFonts w:ascii="Arial" w:cs="Arial" w:eastAsia="Arial" w:hAnsi="Arial"/>
          <w:color w:val="333333"/>
          <w:sz w:val="21"/>
          <w:szCs w:val="21"/>
        </w:rPr>
        <w:t xml:space="preserve">Shadow billing analysis report from pilot encounters</w:t>
      </w:r>
    </w:p>
    <w:p>
      <w:pPr>
        <w:pStyle w:val="ListParagraph"/>
        <w:numPr>
          <w:ilvl w:val="0"/>
          <w:numId w:val="2"/>
        </w:numPr>
        <w:spacing w:after="60"/>
      </w:pPr>
      <w:r>
        <w:rPr>
          <w:rFonts w:ascii="Arial" w:cs="Arial" w:eastAsia="Arial" w:hAnsi="Arial"/>
          <w:color w:val="333333"/>
          <w:sz w:val="21"/>
          <w:szCs w:val="21"/>
        </w:rPr>
        <w:t xml:space="preserve">MNC pathway adherence data for participating specialties</w:t>
      </w:r>
    </w:p>
    <w:p>
      <w:pPr>
        <w:pStyle w:val="ListParagraph"/>
        <w:numPr>
          <w:ilvl w:val="0"/>
          <w:numId w:val="2"/>
        </w:numPr>
        <w:spacing w:after="60"/>
      </w:pPr>
      <w:r>
        <w:rPr>
          <w:rFonts w:ascii="Arial" w:cs="Arial" w:eastAsia="Arial" w:hAnsi="Arial"/>
          <w:color w:val="333333"/>
          <w:sz w:val="21"/>
          <w:szCs w:val="21"/>
        </w:rPr>
        <w:t xml:space="preserve">Preliminary outcome metrics framework for VBHC alignment</w:t>
      </w:r>
    </w:p>
    <w:p>
      <w:pPr>
        <w:pStyle w:val="ListParagraph"/>
        <w:numPr>
          <w:ilvl w:val="0"/>
          <w:numId w:val="2"/>
        </w:numPr>
        <w:spacing w:after="60"/>
      </w:pPr>
      <w:r>
        <w:rPr>
          <w:rFonts w:ascii="Arial" w:cs="Arial" w:eastAsia="Arial" w:hAnsi="Arial"/>
          <w:color w:val="333333"/>
          <w:sz w:val="21"/>
          <w:szCs w:val="21"/>
        </w:rPr>
        <w:t xml:space="preserve">Technical architecture brief showing CII-CHI data integration pathway</w:t>
      </w:r>
    </w:p>
    <w:p>
      <w:r>
        <w:br w:type="page"/>
      </w:r>
    </w:p>
    <w:p>
      <w:pPr>
        <w:pStyle w:val="Heading1"/>
        <w:spacing w:after="200" w:before="360"/>
      </w:pPr>
      <w:r>
        <w:rPr>
          <w:rFonts w:ascii="Arial" w:cs="Arial" w:eastAsia="Arial" w:hAnsi="Arial"/>
        </w:rPr>
        <w:t xml:space="preserve">7. Physician Incentive System</w:t>
      </w:r>
    </w:p>
    <w:p>
      <w:pPr>
        <w:pStyle w:val="Heading2"/>
        <w:spacing w:after="160" w:before="280"/>
      </w:pPr>
      <w:r>
        <w:rPr>
          <w:rFonts w:ascii="Arial" w:cs="Arial" w:eastAsia="Arial" w:hAnsi="Arial"/>
        </w:rPr>
        <w:t xml:space="preserve">7.1 Token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30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Token Level</w:t>
            </w:r>
          </w:p>
        </w:tc>
      </w:tr>
      <w:tr>
        <w:tc>
          <w:tcPr>
            <w:tcW w:type="dxa" w:w="6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Clinical question submitted with structured context</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Standard</w:t>
            </w:r>
          </w:p>
        </w:tc>
      </w:tr>
      <w:tr>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Evidence review and quality rating</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Enhanced</w:t>
            </w:r>
          </w:p>
        </w:tc>
      </w:tr>
      <w:tr>
        <w:tc>
          <w:tcPr>
            <w:tcW w:type="dxa" w:w="6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Research contribution (case report, cohort identification)</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Premium</w:t>
            </w:r>
          </w:p>
        </w:tc>
      </w:tr>
      <w:tr>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Guideline contribution (draft recommendation for society review)</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Premium+</w:t>
            </w:r>
          </w:p>
        </w:tc>
      </w:tr>
      <w:tr>
        <w:tc>
          <w:tcPr>
            <w:tcW w:type="dxa" w:w="6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Peer review of another physician’s contribution</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Standard</w:t>
            </w:r>
          </w:p>
        </w:tc>
      </w:tr>
    </w:tbl>
    <w:p>
      <w:pPr>
        <w:spacing w:after="80"/>
      </w:pPr>
    </w:p>
    <w:p>
      <w:pPr>
        <w:pStyle w:val="Heading2"/>
        <w:spacing w:after="160" w:before="280"/>
      </w:pPr>
      <w:r>
        <w:rPr>
          <w:rFonts w:ascii="Arial" w:cs="Arial" w:eastAsia="Arial" w:hAnsi="Arial"/>
        </w:rPr>
        <w:t xml:space="preserve">7.2 Token Redemption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Reward</w:t>
            </w:r>
          </w:p>
        </w:tc>
        <w:tc>
          <w:tcPr>
            <w:tcW w:type="dxa" w:w="63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CME Credits</w:t>
            </w:r>
          </w:p>
        </w:tc>
        <w:tc>
          <w:tcPr>
            <w:tcW w:type="dxa" w:w="6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Accredited through SCFHS via TKG Nama Academy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Academic Recognition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Contributions credited in published guidelines and systematic reviews</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Financial Rewards</w:t>
            </w:r>
          </w:p>
        </w:tc>
        <w:tc>
          <w:tcPr>
            <w:tcW w:type="dxa" w:w="6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Token-to-payment conversion for high-value contributions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Conference Access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Priority access to TKG-organized scientific society events</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Research Authorship</w:t>
            </w:r>
          </w:p>
        </w:tc>
        <w:tc>
          <w:tcPr>
            <w:tcW w:type="dxa" w:w="6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Co-authorship on RWE publications derived from contributed data</w:t>
            </w:r>
          </w:p>
        </w:tc>
      </w:tr>
    </w:tbl>
    <w:p>
      <w:pPr>
        <w:spacing w:after="80"/>
      </w:pPr>
    </w:p>
    <w:p>
      <w:pPr>
        <w:pStyle w:val="Heading2"/>
        <w:spacing w:after="160" w:before="280"/>
      </w:pPr>
      <w:r>
        <w:rPr>
          <w:rFonts w:ascii="Arial" w:cs="Arial" w:eastAsia="Arial" w:hAnsi="Arial"/>
        </w:rPr>
        <w:t xml:space="preserve">7.3 Strategic Value</w:t>
      </w:r>
    </w:p>
    <w:p>
      <w:pPr>
        <w:spacing w:after="180"/>
      </w:pPr>
      <w:r>
        <w:rPr>
          <w:rFonts w:ascii="Arial" w:cs="Arial" w:eastAsia="Arial" w:hAnsi="Arial"/>
          <w:b w:val="false"/>
          <w:bCs w:val="false"/>
          <w:i w:val="false"/>
          <w:iCs w:val="false"/>
          <w:color w:val="333333"/>
          <w:sz w:val="21"/>
          <w:szCs w:val="21"/>
        </w:rPr>
        <w:t xml:space="preserve">The incentive system creates a self-reinforcing knowledge loop: physicians contribute clinical intelligence, receive professional rewards, and generate the structured data that makes CII more valuable. This is the human layer of the data flywheel — and the mechanism that drives sustained adoption beyond the novelty period.</w:t>
      </w:r>
    </w:p>
    <w:p>
      <w:r>
        <w:br w:type="page"/>
      </w:r>
    </w:p>
    <w:p>
      <w:pPr>
        <w:pStyle w:val="Heading1"/>
        <w:spacing w:after="200" w:before="360"/>
      </w:pPr>
      <w:r>
        <w:rPr>
          <w:rFonts w:ascii="Arial" w:cs="Arial" w:eastAsia="Arial" w:hAnsi="Arial"/>
        </w:rPr>
        <w:t xml:space="preserve">8. Pilot Timeline and Milestones</w:t>
      </w:r>
    </w:p>
    <w:p>
      <w:pPr>
        <w:pStyle w:val="Heading2"/>
        <w:spacing w:after="160" w:before="280"/>
      </w:pPr>
      <w:r>
        <w:rPr>
          <w:rFonts w:ascii="Arial" w:cs="Arial" w:eastAsia="Arial" w:hAnsi="Arial"/>
        </w:rPr>
        <w:t xml:space="preserve">Phase 0 — Pre-Deployment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28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Lead</w:t>
            </w:r>
          </w:p>
        </w:tc>
        <w:tc>
          <w:tcPr>
            <w:tcW w:type="dxa" w:w="33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Technology engine MVP deployment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Technology Partner + CTO</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Working CII platform on Saudi servers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Branding and UI finalization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TTG-CII Product Manager</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CII-branded physician interface</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IRB submission and approval</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Care Hospitals IRB Coordinator</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Ethical approval for pilot and data collection</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Physician consent form development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IRB Coordinator + Scientific Dir.</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Approved consent forms</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CTO technical evaluation</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THDG CTO</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Technical sign-off on architecture, security, hosting</w:t>
            </w:r>
          </w:p>
        </w:tc>
      </w:tr>
    </w:tbl>
    <w:p>
      <w:pPr>
        <w:spacing w:after="80"/>
      </w:pPr>
    </w:p>
    <w:p>
      <w:pPr>
        <w:pStyle w:val="Heading2"/>
        <w:spacing w:after="160" w:before="280"/>
      </w:pPr>
      <w:r>
        <w:rPr>
          <w:rFonts w:ascii="Arial" w:cs="Arial" w:eastAsia="Arial" w:hAnsi="Arial"/>
        </w:rPr>
        <w:t xml:space="preserve">Phase 1 — Soft Launch (Week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28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Lead</w:t>
            </w:r>
          </w:p>
        </w:tc>
        <w:tc>
          <w:tcPr>
            <w:tcW w:type="dxa" w:w="33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Early adopter recruitment (10-15 physicians)</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Clinical Champion (CMO)</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Committed early adopter cohort</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Physician training sessions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Academy Directors + Product Mgr</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Trained physicians ready to use CII</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Daily monitoring and rapid iteration</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Product Mgr + Tech Engine Lead</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Bug fixes, UX improvements, performance tuning</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Feedback collection framework</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Product Manager</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Structured physician feedback system active</w:t>
            </w:r>
          </w:p>
        </w:tc>
      </w:tr>
    </w:tbl>
    <w:p>
      <w:pPr>
        <w:spacing w:after="80"/>
      </w:pPr>
    </w:p>
    <w:p>
      <w:pPr>
        <w:pStyle w:val="Heading2"/>
        <w:spacing w:after="160" w:before="280"/>
      </w:pPr>
      <w:r>
        <w:rPr>
          <w:rFonts w:ascii="Arial" w:cs="Arial" w:eastAsia="Arial" w:hAnsi="Arial"/>
        </w:rPr>
        <w:t xml:space="preserve">Phase 2 — Full Launch (Month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28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Lead</w:t>
            </w:r>
          </w:p>
        </w:tc>
        <w:tc>
          <w:tcPr>
            <w:tcW w:type="dxa" w:w="33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Department-by-department rollout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Clinical Champion + Dept Leads</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All target departments onboarded</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Incentive system activation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CME Coordinator</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Token system live, CME credits flowing</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Scientific society governance setup</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Scientific Director</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Society review boards per specialty</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CHI alignment meeting</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Dr. Theeb + Steering Committee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CHI engagement on MNC/AR-DRG/VBHC</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SFDA preliminary engagement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TTG-CII</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Regulatory pathway discussion initiated</w:t>
            </w:r>
          </w:p>
        </w:tc>
      </w:tr>
    </w:tbl>
    <w:p>
      <w:pPr>
        <w:spacing w:after="80"/>
      </w:pPr>
    </w:p>
    <w:p>
      <w:pPr>
        <w:pStyle w:val="Heading2"/>
        <w:spacing w:after="160" w:before="280"/>
      </w:pPr>
      <w:r>
        <w:rPr>
          <w:rFonts w:ascii="Arial" w:cs="Arial" w:eastAsia="Arial" w:hAnsi="Arial"/>
        </w:rPr>
        <w:t xml:space="preserve">Phase 3 — Scale and Optimize (Month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28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Lead</w:t>
            </w:r>
          </w:p>
        </w:tc>
        <w:tc>
          <w:tcPr>
            <w:tcW w:type="dxa" w:w="33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Push toward 80+ daily active physicians</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Clinical Champion + Dept Leads</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Target adoption metrics achieved</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RWE dataset generation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Data Engineer + Research Coord.</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First RWE-ready datasets produced</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Publication pipeline activation</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Publishing Coordinator</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First manuscripts submitted</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Shadow billing analysis (CHI)</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Data Engineer + Product Mgr</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AR-DRG shadow billing report</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Phase 2 decision preparation</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Steering Committee</w:t>
            </w:r>
          </w:p>
        </w:tc>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Evaluation report with Go/No-Go</w:t>
            </w:r>
          </w:p>
        </w:tc>
      </w:tr>
    </w:tbl>
    <w:p>
      <w:pPr>
        <w:spacing w:after="80"/>
      </w:pPr>
    </w:p>
    <w:p>
      <w:pPr>
        <w:pStyle w:val="Heading2"/>
        <w:spacing w:after="160" w:before="280"/>
      </w:pPr>
      <w:r>
        <w:rPr>
          <w:rFonts w:ascii="Arial" w:cs="Arial" w:eastAsia="Arial" w:hAnsi="Arial"/>
        </w:rPr>
        <w:t xml:space="preserve">Milestone Review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20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Timing</w:t>
            </w:r>
          </w:p>
        </w:tc>
        <w:tc>
          <w:tcPr>
            <w:tcW w:type="dxa" w:w="41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Decision</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Soft Launch Review</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Week 4</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Continue to full launch or iterate</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First Metrics Review</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Month 2</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On-track assessment, course corrections</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Mid-Pilot Review</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Month 3</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Formal Steering Committee Go/No-Go</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CHI Alignment Review</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Month 4</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CHI engagement outcome and next steps</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Final Pilot Review</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Month 6</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Phase 2 decision — expand, iterate, or exit</w:t>
            </w:r>
          </w:p>
        </w:tc>
      </w:tr>
    </w:tbl>
    <w:p>
      <w:r>
        <w:br w:type="page"/>
      </w:r>
    </w:p>
    <w:p>
      <w:pPr>
        <w:pStyle w:val="Heading1"/>
        <w:spacing w:after="200" w:before="360"/>
      </w:pPr>
      <w:r>
        <w:rPr>
          <w:rFonts w:ascii="Arial" w:cs="Arial" w:eastAsia="Arial" w:hAnsi="Arial"/>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c>
          <w:tcPr>
            <w:tcW w:type="dxa" w:w="28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5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Month 3</w:t>
            </w:r>
          </w:p>
        </w:tc>
        <w:tc>
          <w:tcPr>
            <w:tcW w:type="dxa" w:w="15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Month 6</w:t>
            </w:r>
          </w:p>
        </w:tc>
        <w:tc>
          <w:tcPr>
            <w:tcW w:type="dxa" w:w="35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Measured By</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Active daily physician users</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30+</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80+</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Platform analytics (TTG-CII)</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Clinical queries per physician/week</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5+</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10+</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Platform analytics (TTG-CII)</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Structured knowledge entries</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200+</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1,000+</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Data Engineer (TTG-CII)</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RWE-ready datasets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2+</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5+</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Research Coordinator (Nama CRO)</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Guideline draft contributions</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1</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3+</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Scientific Director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Physician satisfaction (NPS)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40+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60+</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Clinical Operations (Care Hospitals)</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Query-to-answer time</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&lt;30 sec</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&lt;20 sec</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Platform analytics (TTG-CII)</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System uptime</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99.5%+</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99.9%+</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DevOps (TTG-CII)</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Society-validated outputs</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10+</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50+</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Scientific Governance Team</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CME credits issued</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50+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300+</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CME Coordinator (Nama Academy)</w:t>
            </w:r>
          </w:p>
        </w:tc>
      </w:tr>
    </w:tbl>
    <w:p>
      <w:r>
        <w:br w:type="page"/>
      </w:r>
    </w:p>
    <w:p>
      <w:pPr>
        <w:pStyle w:val="Heading1"/>
        <w:spacing w:after="200" w:before="360"/>
      </w:pPr>
      <w:r>
        <w:rPr>
          <w:rFonts w:ascii="Arial" w:cs="Arial" w:eastAsia="Arial" w:hAnsi="Arial"/>
        </w:rPr>
        <w:t xml:space="preserve">10. Data Governance and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9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Data Hosting</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All data processed and stored on Saudi-based servers — no data leaves the Kingdom</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De-identification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All physician interaction data de-identified before entering RWE pipeline</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Consent</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Physician opt-in consent governed by Care Hospitals IRB</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Patient Data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No direct patient identifiers collected — CII processes clinical questions, not patient records</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Access Control</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Role-based access: physicians see CII interface only; data teams access de-identified datasets; technology partner has no access to raw data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Audit Trail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Complete logging of all data access, queries, and modifications</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Compliance</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Aligned with NDMO standards and PDPL (Personal Data Protection Law)</w:t>
            </w:r>
          </w:p>
        </w:tc>
      </w:tr>
    </w:tbl>
    <w:p>
      <w:r>
        <w:br w:type="page"/>
      </w:r>
    </w:p>
    <w:p>
      <w:pPr>
        <w:pStyle w:val="Heading1"/>
        <w:spacing w:after="200" w:before="360"/>
      </w:pPr>
      <w:r>
        <w:rPr>
          <w:rFonts w:ascii="Arial" w:cs="Arial" w:eastAsia="Arial" w:hAnsi="Arial"/>
        </w:rPr>
        <w:t xml:space="preserve">11.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2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10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49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Low physician adoption</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Medium</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High</w:t>
            </w:r>
          </w:p>
        </w:tc>
        <w:tc>
          <w:tcPr>
            <w:tcW w:type="dxa" w:w="4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CMO as clinical champion, incentive system, department-by-department rollout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Technology engine underperformance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Low</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High</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SLA with accuracy/uptime benchmarks; CTO evaluation before deployment</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IRB approval delays</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Medium</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Medium</w:t>
            </w:r>
          </w:p>
        </w:tc>
        <w:tc>
          <w:tcPr>
            <w:tcW w:type="dxa" w:w="4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Early submission (Week 1), parallel processing with technical setup</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Data governance concerns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Low</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High</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NDMO/PDPL compliance, IRB oversight, de-identification by design</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Operational disruption</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Low</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Medium</w:t>
            </w:r>
          </w:p>
        </w:tc>
        <w:tc>
          <w:tcPr>
            <w:tcW w:type="dxa" w:w="4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Zero-disruption entry point (browser-based), opt-in participation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Scope creep</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Medium</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Medium</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Steering Committee controls scope; formal approval for changes</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Budget overrun</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Low</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Medium</w:t>
            </w:r>
          </w:p>
        </w:tc>
        <w:tc>
          <w:tcPr>
            <w:tcW w:type="dxa" w:w="4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Scope-based pricing; no open-ended commitments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Regulatory uncertainty</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Medium</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Low</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Early SFDA/CHI engagement; positioning, not registration, during pilot</w:t>
            </w:r>
          </w:p>
        </w:tc>
      </w:tr>
    </w:tbl>
    <w:p>
      <w:r>
        <w:br w:type="page"/>
      </w:r>
    </w:p>
    <w:p>
      <w:pPr>
        <w:pStyle w:val="Heading1"/>
        <w:spacing w:after="200" w:before="360"/>
      </w:pPr>
      <w:r>
        <w:rPr>
          <w:rFonts w:ascii="Arial" w:cs="Arial" w:eastAsia="Arial" w:hAnsi="Arial"/>
        </w:rPr>
        <w:t xml:space="preserve">12. Communication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c>
          <w:tcPr>
            <w:tcW w:type="dxa" w:w="24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Audience</w:t>
            </w:r>
          </w:p>
        </w:tc>
        <w:tc>
          <w:tcPr>
            <w:tcW w:type="dxa" w:w="28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Channel</w:t>
            </w:r>
          </w:p>
        </w:tc>
        <w:tc>
          <w:tcPr>
            <w:tcW w:type="dxa" w:w="16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c>
          <w:tcPr>
            <w:tcW w:type="dxa" w:w="25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Steering Committee</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Monthly review meeting</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Monthly</w:t>
            </w:r>
          </w:p>
        </w:tc>
        <w:tc>
          <w:tcPr>
            <w:tcW w:type="dxa" w:w="2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Dr. Theeb</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All Teams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Weekly stand-up (30 min)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Weekly</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Project Manager</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Care Hospitals physicians</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In-app updates + email newsletter</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Bi-weekly</w:t>
            </w:r>
          </w:p>
        </w:tc>
        <w:tc>
          <w:tcPr>
            <w:tcW w:type="dxa" w:w="2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Product Mgr + Academy Dir.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Technology Partner</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Technical sync</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Weekly</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CTO</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Scientific Societies</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Governance review</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Monthly</w:t>
            </w:r>
          </w:p>
        </w:tc>
        <w:tc>
          <w:tcPr>
            <w:tcW w:type="dxa" w:w="2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Scientific Director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CHI</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Alignment meetings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Quarterly</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Dr. Theeb</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SFDA</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Regulatory briefing</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As needed</w:t>
            </w:r>
          </w:p>
        </w:tc>
        <w:tc>
          <w:tcPr>
            <w:tcW w:type="dxa" w:w="2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TTG-CII</w:t>
            </w:r>
          </w:p>
        </w:tc>
      </w:tr>
    </w:tbl>
    <w:p>
      <w:pPr>
        <w:spacing w:after="80"/>
      </w:pPr>
    </w:p>
    <w:p>
      <w:pPr>
        <w:pStyle w:val="Heading1"/>
        <w:spacing w:after="200" w:before="360"/>
      </w:pPr>
      <w:r>
        <w:rPr>
          <w:rFonts w:ascii="Arial" w:cs="Arial" w:eastAsia="Arial" w:hAnsi="Arial"/>
        </w:rPr>
        <w:t xml:space="preserve">13.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2200"/>
        <w:gridCol w:w="1800"/>
      </w:tblGrid>
      <w:tr>
        <w:tc>
          <w:tcPr>
            <w:tcW w:type="dxa" w:w="5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48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2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18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Target Date</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1</w:t>
            </w:r>
          </w:p>
        </w:tc>
        <w:tc>
          <w:tcPr>
            <w:tcW w:type="dxa" w:w="4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CTO technical evaluation meeting with technology partner</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THDG CTO</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This week</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2</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Finalize CII branding and visual identity</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Dr. Theeb / TTG-CII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Within days</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3</w:t>
            </w:r>
          </w:p>
        </w:tc>
        <w:tc>
          <w:tcPr>
            <w:tcW w:type="dxa" w:w="4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Receive and evaluate technology partner quotation</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Dr. Theeb / CTO</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Upon receipt</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4</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MVP deployment on Saudi servers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Technology Partner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7 days from branding</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5</w:t>
            </w:r>
          </w:p>
        </w:tc>
        <w:tc>
          <w:tcPr>
            <w:tcW w:type="dxa" w:w="4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IRB submission at Care Hospitals</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IRB Coordinator</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Week 1</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6</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CMO alignment meeting at Care Hospitals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Dr. Theeb + CMO</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Week 1</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7</w:t>
            </w:r>
          </w:p>
        </w:tc>
        <w:tc>
          <w:tcPr>
            <w:tcW w:type="dxa" w:w="4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Early adopter physician recruitment</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CMO + Academy Directors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Week 2-3</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8</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Scientific society engagement (first 2 specialties)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Scientific Director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Week 2-3</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9</w:t>
            </w:r>
          </w:p>
        </w:tc>
        <w:tc>
          <w:tcPr>
            <w:tcW w:type="dxa" w:w="4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Pilot launch — soft launch with early adopters</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All teams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Week 3-4</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10</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CHI preliminary alignment meeting</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Dr. Theeb</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Month 2</w:t>
            </w:r>
          </w:p>
        </w:tc>
      </w:tr>
    </w:tbl>
    <w:p>
      <w:r>
        <w:br w:type="page"/>
      </w:r>
    </w:p>
    <w:p>
      <w:pPr>
        <w:pStyle w:val="Heading1"/>
        <w:spacing w:after="200" w:before="360"/>
      </w:pPr>
      <w:r>
        <w:rPr>
          <w:rFonts w:ascii="Arial" w:cs="Arial" w:eastAsia="Arial" w:hAnsi="Arial"/>
        </w:rPr>
        <w:t xml:space="preserve">14. Appendices</w:t>
      </w:r>
    </w:p>
    <w:p>
      <w:pPr>
        <w:spacing w:after="180"/>
      </w:pPr>
      <w:r>
        <w:rPr>
          <w:rFonts w:ascii="Arial" w:cs="Arial" w:eastAsia="Arial" w:hAnsi="Arial"/>
          <w:b w:val="false"/>
          <w:bCs w:val="false"/>
          <w:i w:val="false"/>
          <w:iCs w:val="false"/>
          <w:color w:val="333333"/>
          <w:sz w:val="21"/>
          <w:szCs w:val="21"/>
        </w:rPr>
        <w:t xml:space="preserve">The following appendices will be developed and attached as the pilot progresses through the pre-deployment phase: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Appendix</w:t>
            </w:r>
          </w:p>
        </w:tc>
        <w:tc>
          <w:tcPr>
            <w:tcW w:type="dxa" w:w="596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200"/>
            <w:tcBorders>
              <w:top w:val="single" w:color="AAAAAA" w:sz="1"/>
              <w:left w:val="single" w:color="AAAAAA" w:sz="1"/>
              <w:bottom w:val="single" w:color="AAAAAA" w:sz="1"/>
              <w:right w:val="single" w:color="AAAAAA" w:sz="1"/>
            </w:tcBorders>
            <w:shd w:fill="1B3A4B"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A</w:t>
            </w:r>
          </w:p>
        </w:tc>
        <w:tc>
          <w:tcPr>
            <w:tcW w:type="dxa" w:w="5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Technology Partner Service Agreement</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Pending quotation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B</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Care Hospitals Pilot Agreement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To be drafted</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C</w:t>
            </w:r>
          </w:p>
        </w:tc>
        <w:tc>
          <w:tcPr>
            <w:tcW w:type="dxa" w:w="5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IRB Application and Consent Forms</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To be submitted</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D</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CII Platform Architecture (7-Layer Technical Specification)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Available</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E</w:t>
            </w:r>
          </w:p>
        </w:tc>
        <w:tc>
          <w:tcPr>
            <w:tcW w:type="dxa" w:w="5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CHI Alignment Brief (MNC, AR-DRG, VBHC Integration)</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To be drafted</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19"/>
                <w:szCs w:val="19"/>
              </w:rPr>
              <w:t xml:space="preserve">F</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Scientific Society Governance Framework</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To be drafted</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19"/>
                <w:szCs w:val="19"/>
              </w:rPr>
              <w:t xml:space="preserve">G</w:t>
            </w:r>
          </w:p>
        </w:tc>
        <w:tc>
          <w:tcPr>
            <w:tcW w:type="dxa" w:w="5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Physician Onboarding and Training Materials</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19"/>
                <w:szCs w:val="19"/>
              </w:rPr>
              <w:t xml:space="preserve">To be developed</w:t>
            </w:r>
          </w:p>
        </w:tc>
      </w:tr>
    </w:tbl>
    <w:p>
      <w:pPr>
        <w:spacing w:after="80"/>
      </w:pPr>
    </w:p>
    <w:p>
      <w:pPr>
        <w:spacing w:after="80"/>
      </w:pPr>
    </w:p>
    <w:p>
      <w:pPr>
        <w:pBdr>
          <w:top w:val="single" w:color="1B3A4B" w:sz="2" w:space="12"/>
        </w:pBdr>
        <w:spacing w:before="400"/>
        <w:jc w:val="center"/>
      </w:pPr>
    </w:p>
    <w:p>
      <w:pPr>
        <w:spacing w:after="40"/>
        <w:jc w:val="center"/>
      </w:pPr>
      <w:r>
        <w:rPr>
          <w:rFonts w:ascii="Arial" w:cs="Arial" w:eastAsia="Arial" w:hAnsi="Arial"/>
          <w:i/>
          <w:iCs/>
          <w:color w:val="999999"/>
          <w:sz w:val="20"/>
          <w:szCs w:val="20"/>
        </w:rPr>
        <w:t xml:space="preserve">End of Proposal</w:t>
      </w:r>
    </w:p>
    <w:p>
      <w:pPr>
        <w:jc w:val="center"/>
      </w:pPr>
      <w:r>
        <w:rPr>
          <w:rFonts w:ascii="Arial" w:cs="Arial" w:eastAsia="Arial" w:hAnsi="Arial"/>
          <w:color w:val="AAAAAA"/>
          <w:sz w:val="18"/>
          <w:szCs w:val="18"/>
        </w:rPr>
        <w:t xml:space="preserve">CII — Clinical Intelligence Infrastructure | Theeb Technology Group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5"/>
        <w:szCs w:val="15"/>
      </w:rPr>
      <w:t xml:space="preserve">Confidential | Version 1.0 | March 2026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5"/>
        <w:szCs w:val="15"/>
      </w:rPr>
      <w:t xml:space="preserve">CII Pilot Program Proposal — Care Hospitals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4B"/>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2026-03-18T04:29:00.491Z</dcterms:created>
  <dcterms:modified xsi:type="dcterms:W3CDTF">2026-03-18T04:29:00.506Z</dcterms:modified>
</cp:coreProperties>
</file>

<file path=docProps/custom.xml><?xml version="1.0" encoding="utf-8"?>
<Properties xmlns="http://schemas.openxmlformats.org/officeDocument/2006/custom-properties" xmlns:vt="http://schemas.openxmlformats.org/officeDocument/2006/docPropsVTypes"/>
</file>