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CD7A" w14:textId="002AD102" w:rsidR="00E72D25" w:rsidRPr="00373AAD" w:rsidRDefault="00373AAD" w:rsidP="00373AAD">
      <w:pPr>
        <w:jc w:val="center"/>
        <w:rPr>
          <w:rFonts w:ascii="Arial" w:hAnsi="Arial" w:cs="Arial"/>
          <w:sz w:val="32"/>
          <w:szCs w:val="32"/>
        </w:rPr>
      </w:pPr>
      <w:r w:rsidRPr="00373AAD">
        <w:rPr>
          <w:rFonts w:ascii="Arial" w:hAnsi="Arial" w:cs="Arial"/>
          <w:b/>
          <w:bCs/>
          <w:sz w:val="32"/>
          <w:szCs w:val="32"/>
        </w:rPr>
        <w:t>Alignment of DRGs and VBC in Advancing VBHC and VBP in Saudi Arabia</w:t>
      </w:r>
    </w:p>
    <w:p w14:paraId="328DF5B3" w14:textId="77777777" w:rsidR="00373AAD" w:rsidRDefault="00373AAD" w:rsidP="003043A4">
      <w:pPr>
        <w:jc w:val="both"/>
        <w:rPr>
          <w:rFonts w:ascii="Arial" w:hAnsi="Arial" w:cs="Arial"/>
          <w:sz w:val="22"/>
          <w:szCs w:val="22"/>
        </w:rPr>
      </w:pPr>
    </w:p>
    <w:p w14:paraId="21579010" w14:textId="77777777" w:rsidR="00193BFB" w:rsidRPr="00193BFB" w:rsidRDefault="00193BFB" w:rsidP="00193BFB">
      <w:pPr>
        <w:jc w:val="both"/>
        <w:rPr>
          <w:rFonts w:ascii="Arial" w:hAnsi="Arial" w:cs="Arial"/>
          <w:sz w:val="22"/>
          <w:szCs w:val="22"/>
        </w:rPr>
      </w:pPr>
      <w:r w:rsidRPr="00193BFB">
        <w:rPr>
          <w:rFonts w:ascii="Arial" w:hAnsi="Arial" w:cs="Arial"/>
          <w:sz w:val="22"/>
          <w:szCs w:val="22"/>
        </w:rPr>
        <w:t>This assessment was prepared to support a clearer, more integrated understanding of how the Value</w:t>
      </w:r>
      <w:r w:rsidRPr="00193BFB">
        <w:rPr>
          <w:rFonts w:ascii="Cambria Math" w:hAnsi="Cambria Math" w:cs="Cambria Math"/>
          <w:sz w:val="22"/>
          <w:szCs w:val="22"/>
        </w:rPr>
        <w:t>‑</w:t>
      </w:r>
      <w:r w:rsidRPr="00193BFB">
        <w:rPr>
          <w:rFonts w:ascii="Arial" w:hAnsi="Arial" w:cs="Arial"/>
          <w:sz w:val="22"/>
          <w:szCs w:val="22"/>
        </w:rPr>
        <w:t>Based Contracting (VBC) Guidelines and the AR</w:t>
      </w:r>
      <w:r w:rsidRPr="00193BFB">
        <w:rPr>
          <w:rFonts w:ascii="Cambria Math" w:hAnsi="Cambria Math" w:cs="Cambria Math"/>
          <w:sz w:val="22"/>
          <w:szCs w:val="22"/>
        </w:rPr>
        <w:t>‑</w:t>
      </w:r>
      <w:r w:rsidRPr="00193BFB">
        <w:rPr>
          <w:rFonts w:ascii="Arial" w:hAnsi="Arial" w:cs="Arial"/>
          <w:sz w:val="22"/>
          <w:szCs w:val="22"/>
        </w:rPr>
        <w:t>DRG implementation initiative can jointly contribute to a coherent roadmap toward Value</w:t>
      </w:r>
      <w:r w:rsidRPr="00193BFB">
        <w:rPr>
          <w:rFonts w:ascii="Cambria Math" w:hAnsi="Cambria Math" w:cs="Cambria Math"/>
          <w:sz w:val="22"/>
          <w:szCs w:val="22"/>
        </w:rPr>
        <w:t>‑</w:t>
      </w:r>
      <w:r w:rsidRPr="00193BFB">
        <w:rPr>
          <w:rFonts w:ascii="Arial" w:hAnsi="Arial" w:cs="Arial"/>
          <w:sz w:val="22"/>
          <w:szCs w:val="22"/>
        </w:rPr>
        <w:t>Based Health Care (VBHC) and Value</w:t>
      </w:r>
      <w:r w:rsidRPr="00193BFB">
        <w:rPr>
          <w:rFonts w:ascii="Cambria Math" w:hAnsi="Cambria Math" w:cs="Cambria Math"/>
          <w:sz w:val="22"/>
          <w:szCs w:val="22"/>
        </w:rPr>
        <w:t>‑</w:t>
      </w:r>
      <w:r w:rsidRPr="00193BFB">
        <w:rPr>
          <w:rFonts w:ascii="Arial" w:hAnsi="Arial" w:cs="Arial"/>
          <w:sz w:val="22"/>
          <w:szCs w:val="22"/>
        </w:rPr>
        <w:t>Based Payment (VBP) in the Saudi private health insurance market.</w:t>
      </w:r>
    </w:p>
    <w:p w14:paraId="1A19446D" w14:textId="373E8B3B" w:rsidR="00193BFB" w:rsidRPr="00193BFB" w:rsidRDefault="00193BFB" w:rsidP="00193BFB">
      <w:pPr>
        <w:jc w:val="both"/>
        <w:rPr>
          <w:rFonts w:ascii="Arial" w:hAnsi="Arial" w:cs="Arial"/>
          <w:sz w:val="22"/>
          <w:szCs w:val="22"/>
        </w:rPr>
      </w:pPr>
      <w:r w:rsidRPr="00193BFB">
        <w:rPr>
          <w:rFonts w:ascii="Arial" w:hAnsi="Arial" w:cs="Arial"/>
          <w:sz w:val="22"/>
          <w:szCs w:val="22"/>
        </w:rPr>
        <w:t>Given that these two strategic projects currently sit within different departments, this review aims to highlight their natural alignment and identify opportunities to strengthen coordination, communication, and sequencing.</w:t>
      </w:r>
    </w:p>
    <w:p w14:paraId="29B0BD63" w14:textId="77777777" w:rsidR="00193BFB" w:rsidRDefault="00193BFB" w:rsidP="003043A4">
      <w:pPr>
        <w:jc w:val="both"/>
        <w:rPr>
          <w:rFonts w:ascii="Arial" w:hAnsi="Arial" w:cs="Arial"/>
          <w:sz w:val="22"/>
          <w:szCs w:val="22"/>
        </w:rPr>
      </w:pPr>
    </w:p>
    <w:p w14:paraId="6C603A72" w14:textId="61958247" w:rsidR="00193BFB" w:rsidRPr="00193BFB" w:rsidRDefault="00193BFB" w:rsidP="00193BFB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b/>
          <w:bCs/>
        </w:rPr>
      </w:pPr>
      <w:r w:rsidRPr="00193BFB">
        <w:rPr>
          <w:rFonts w:ascii="Arial" w:hAnsi="Arial" w:cs="Arial"/>
          <w:b/>
          <w:bCs/>
        </w:rPr>
        <w:t>Strategic Alignment Between VBC and DRGs</w:t>
      </w:r>
    </w:p>
    <w:p w14:paraId="74F09C3D" w14:textId="77777777" w:rsidR="00193BFB" w:rsidRPr="00193BFB" w:rsidRDefault="00193BFB" w:rsidP="00193BFB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  <w:r w:rsidRPr="00193BFB">
        <w:rPr>
          <w:rFonts w:ascii="Arial" w:hAnsi="Arial" w:cs="Arial"/>
          <w:sz w:val="22"/>
          <w:szCs w:val="22"/>
        </w:rPr>
        <w:t>Both initiatives are fundamentally pursuing the same long</w:t>
      </w:r>
      <w:r w:rsidRPr="00193BFB">
        <w:rPr>
          <w:rFonts w:ascii="Cambria Math" w:hAnsi="Cambria Math" w:cs="Cambria Math"/>
          <w:sz w:val="22"/>
          <w:szCs w:val="22"/>
        </w:rPr>
        <w:t>‑</w:t>
      </w:r>
      <w:r w:rsidRPr="00193BFB">
        <w:rPr>
          <w:rFonts w:ascii="Arial" w:hAnsi="Arial" w:cs="Arial"/>
          <w:sz w:val="22"/>
          <w:szCs w:val="22"/>
        </w:rPr>
        <w:t>term objective:</w:t>
      </w:r>
    </w:p>
    <w:p w14:paraId="4DA6CD4A" w14:textId="77777777" w:rsidR="00193BFB" w:rsidRPr="00193BFB" w:rsidRDefault="00193BFB" w:rsidP="00193BFB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  <w:r w:rsidRPr="00193BFB">
        <w:rPr>
          <w:rFonts w:ascii="Arial" w:hAnsi="Arial" w:cs="Arial"/>
          <w:sz w:val="22"/>
          <w:szCs w:val="22"/>
        </w:rPr>
        <w:t>a shift away from fee</w:t>
      </w:r>
      <w:r w:rsidRPr="00193BFB">
        <w:rPr>
          <w:rFonts w:ascii="Cambria Math" w:hAnsi="Cambria Math" w:cs="Cambria Math"/>
          <w:sz w:val="22"/>
          <w:szCs w:val="22"/>
        </w:rPr>
        <w:t>‑</w:t>
      </w:r>
      <w:r w:rsidRPr="00193BFB">
        <w:rPr>
          <w:rFonts w:ascii="Arial" w:hAnsi="Arial" w:cs="Arial"/>
          <w:sz w:val="22"/>
          <w:szCs w:val="22"/>
        </w:rPr>
        <w:t>for</w:t>
      </w:r>
      <w:r w:rsidRPr="00193BFB">
        <w:rPr>
          <w:rFonts w:ascii="Cambria Math" w:hAnsi="Cambria Math" w:cs="Cambria Math"/>
          <w:sz w:val="22"/>
          <w:szCs w:val="22"/>
        </w:rPr>
        <w:t>‑</w:t>
      </w:r>
      <w:r w:rsidRPr="00193BFB">
        <w:rPr>
          <w:rFonts w:ascii="Arial" w:hAnsi="Arial" w:cs="Arial"/>
          <w:sz w:val="22"/>
          <w:szCs w:val="22"/>
        </w:rPr>
        <w:t>service toward a transparent, outcome</w:t>
      </w:r>
      <w:r w:rsidRPr="00193BFB">
        <w:rPr>
          <w:rFonts w:ascii="Cambria Math" w:hAnsi="Cambria Math" w:cs="Cambria Math"/>
          <w:sz w:val="22"/>
          <w:szCs w:val="22"/>
        </w:rPr>
        <w:t>‑</w:t>
      </w:r>
      <w:r w:rsidRPr="00193BFB">
        <w:rPr>
          <w:rFonts w:ascii="Arial" w:hAnsi="Arial" w:cs="Arial"/>
          <w:sz w:val="22"/>
          <w:szCs w:val="22"/>
        </w:rPr>
        <w:t>driven, value</w:t>
      </w:r>
      <w:r w:rsidRPr="00193BFB">
        <w:rPr>
          <w:rFonts w:ascii="Cambria Math" w:hAnsi="Cambria Math" w:cs="Cambria Math"/>
          <w:sz w:val="22"/>
          <w:szCs w:val="22"/>
        </w:rPr>
        <w:t>‑</w:t>
      </w:r>
      <w:r w:rsidRPr="00193BFB">
        <w:rPr>
          <w:rFonts w:ascii="Arial" w:hAnsi="Arial" w:cs="Arial"/>
          <w:sz w:val="22"/>
          <w:szCs w:val="22"/>
        </w:rPr>
        <w:t>based system.</w:t>
      </w:r>
    </w:p>
    <w:p w14:paraId="245A1AF1" w14:textId="4D90FBA9" w:rsidR="00193BFB" w:rsidRPr="00193BFB" w:rsidRDefault="00193BFB" w:rsidP="00193BFB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  <w:r w:rsidRPr="00193BFB">
        <w:rPr>
          <w:rFonts w:ascii="Arial" w:hAnsi="Arial" w:cs="Arial"/>
          <w:sz w:val="22"/>
          <w:szCs w:val="22"/>
        </w:rPr>
        <w:t>They simply operate at different</w:t>
      </w:r>
      <w:r>
        <w:rPr>
          <w:rFonts w:ascii="Arial" w:hAnsi="Arial" w:cs="Arial"/>
          <w:sz w:val="22"/>
          <w:szCs w:val="22"/>
        </w:rPr>
        <w:t xml:space="preserve"> - </w:t>
      </w:r>
      <w:r w:rsidRPr="00193BFB">
        <w:rPr>
          <w:rFonts w:ascii="Arial" w:hAnsi="Arial" w:cs="Arial"/>
          <w:sz w:val="22"/>
          <w:szCs w:val="22"/>
        </w:rPr>
        <w:t>but highly complementary</w:t>
      </w:r>
      <w:r>
        <w:rPr>
          <w:rFonts w:ascii="Arial" w:hAnsi="Arial" w:cs="Arial"/>
          <w:sz w:val="22"/>
          <w:szCs w:val="22"/>
        </w:rPr>
        <w:t xml:space="preserve"> - </w:t>
      </w:r>
      <w:r w:rsidRPr="00193BFB">
        <w:rPr>
          <w:rFonts w:ascii="Arial" w:hAnsi="Arial" w:cs="Arial"/>
          <w:sz w:val="22"/>
          <w:szCs w:val="22"/>
        </w:rPr>
        <w:t>layers of the health</w:t>
      </w:r>
      <w:r w:rsidRPr="00193BFB">
        <w:rPr>
          <w:rFonts w:ascii="Cambria Math" w:hAnsi="Cambria Math" w:cs="Cambria Math"/>
          <w:sz w:val="22"/>
          <w:szCs w:val="22"/>
        </w:rPr>
        <w:t>‑</w:t>
      </w:r>
      <w:r w:rsidRPr="00193BFB">
        <w:rPr>
          <w:rFonts w:ascii="Arial" w:hAnsi="Arial" w:cs="Arial"/>
          <w:sz w:val="22"/>
          <w:szCs w:val="22"/>
        </w:rPr>
        <w:t>financing architecture:</w:t>
      </w:r>
    </w:p>
    <w:p w14:paraId="3623CF39" w14:textId="77777777" w:rsidR="00193BFB" w:rsidRPr="00193BFB" w:rsidRDefault="00193BFB" w:rsidP="00193BFB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193BFB">
        <w:rPr>
          <w:rFonts w:ascii="Arial" w:hAnsi="Arial" w:cs="Arial"/>
          <w:b/>
          <w:bCs/>
          <w:sz w:val="22"/>
          <w:szCs w:val="22"/>
        </w:rPr>
        <w:t>DRGs</w:t>
      </w:r>
    </w:p>
    <w:p w14:paraId="4E8455DF" w14:textId="54756155" w:rsidR="00193BFB" w:rsidRPr="00193BFB" w:rsidRDefault="00193BFB" w:rsidP="00193BFB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2"/>
          <w:szCs w:val="22"/>
        </w:rPr>
      </w:pPr>
      <w:r w:rsidRPr="00193BFB">
        <w:rPr>
          <w:rFonts w:ascii="Arial" w:hAnsi="Arial" w:cs="Arial"/>
          <w:sz w:val="22"/>
          <w:szCs w:val="22"/>
        </w:rPr>
        <w:t>Classify inpatient episodes</w:t>
      </w:r>
    </w:p>
    <w:p w14:paraId="45DF2254" w14:textId="3D0D5207" w:rsidR="00193BFB" w:rsidRPr="00193BFB" w:rsidRDefault="00193BFB" w:rsidP="00193BFB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2"/>
          <w:szCs w:val="22"/>
        </w:rPr>
      </w:pPr>
      <w:r w:rsidRPr="00193BFB">
        <w:rPr>
          <w:rFonts w:ascii="Arial" w:hAnsi="Arial" w:cs="Arial"/>
          <w:sz w:val="22"/>
          <w:szCs w:val="22"/>
        </w:rPr>
        <w:t xml:space="preserve">Provide a standardized, clinically coherent view of </w:t>
      </w:r>
      <w:proofErr w:type="spellStart"/>
      <w:r w:rsidRPr="00193BFB">
        <w:rPr>
          <w:rFonts w:ascii="Arial" w:hAnsi="Arial" w:cs="Arial"/>
          <w:sz w:val="22"/>
          <w:szCs w:val="22"/>
        </w:rPr>
        <w:t>casemix</w:t>
      </w:r>
      <w:proofErr w:type="spellEnd"/>
    </w:p>
    <w:p w14:paraId="1C34D3F3" w14:textId="58CAF829" w:rsidR="00193BFB" w:rsidRPr="00193BFB" w:rsidRDefault="00193BFB" w:rsidP="00193BFB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2"/>
          <w:szCs w:val="22"/>
        </w:rPr>
      </w:pPr>
      <w:r w:rsidRPr="00193BFB">
        <w:rPr>
          <w:rFonts w:ascii="Arial" w:hAnsi="Arial" w:cs="Arial"/>
          <w:sz w:val="22"/>
          <w:szCs w:val="22"/>
        </w:rPr>
        <w:t>Enable transparent costing and benchmarking</w:t>
      </w:r>
    </w:p>
    <w:p w14:paraId="31B3C62E" w14:textId="29639462" w:rsidR="00193BFB" w:rsidRPr="00193BFB" w:rsidRDefault="00193BFB" w:rsidP="00193BFB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2"/>
          <w:szCs w:val="22"/>
        </w:rPr>
      </w:pPr>
      <w:r w:rsidRPr="00193BFB">
        <w:rPr>
          <w:rFonts w:ascii="Arial" w:hAnsi="Arial" w:cs="Arial"/>
          <w:sz w:val="22"/>
          <w:szCs w:val="22"/>
        </w:rPr>
        <w:t>Support fair comparison across providers</w:t>
      </w:r>
    </w:p>
    <w:p w14:paraId="4A6209EE" w14:textId="2E528308" w:rsidR="00193BFB" w:rsidRDefault="00193BFB" w:rsidP="00193BFB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2"/>
          <w:szCs w:val="22"/>
        </w:rPr>
      </w:pPr>
      <w:r w:rsidRPr="00193BFB">
        <w:rPr>
          <w:rFonts w:ascii="Arial" w:hAnsi="Arial" w:cs="Arial"/>
          <w:sz w:val="22"/>
          <w:szCs w:val="22"/>
        </w:rPr>
        <w:t>Serve as a foundation for risk adjustment and pricing</w:t>
      </w:r>
    </w:p>
    <w:p w14:paraId="11786310" w14:textId="57B82C15" w:rsidR="00193BFB" w:rsidRPr="00193BFB" w:rsidRDefault="00193BFB" w:rsidP="00193BFB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193BFB">
        <w:rPr>
          <w:rFonts w:ascii="Arial" w:hAnsi="Arial" w:cs="Arial"/>
          <w:b/>
          <w:bCs/>
          <w:sz w:val="22"/>
          <w:szCs w:val="22"/>
        </w:rPr>
        <w:t>VBC Bundles</w:t>
      </w:r>
    </w:p>
    <w:p w14:paraId="6914924F" w14:textId="2B14B2B9" w:rsidR="00193BFB" w:rsidRPr="00193BFB" w:rsidRDefault="00193BFB" w:rsidP="00193BFB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193BFB">
        <w:rPr>
          <w:rFonts w:ascii="Arial" w:hAnsi="Arial" w:cs="Arial"/>
          <w:sz w:val="22"/>
          <w:szCs w:val="22"/>
        </w:rPr>
        <w:t>Cover the full care cycle (pre</w:t>
      </w:r>
      <w:r w:rsidRPr="00193BFB">
        <w:rPr>
          <w:rFonts w:ascii="Cambria Math" w:hAnsi="Cambria Math" w:cs="Cambria Math"/>
          <w:sz w:val="22"/>
          <w:szCs w:val="22"/>
        </w:rPr>
        <w:t>‑</w:t>
      </w:r>
      <w:r w:rsidRPr="00193BFB">
        <w:rPr>
          <w:rFonts w:ascii="Arial" w:hAnsi="Arial" w:cs="Arial"/>
          <w:sz w:val="22"/>
          <w:szCs w:val="22"/>
        </w:rPr>
        <w:t>, intra</w:t>
      </w:r>
      <w:r w:rsidRPr="00193BFB">
        <w:rPr>
          <w:rFonts w:ascii="Cambria Math" w:hAnsi="Cambria Math" w:cs="Cambria Math"/>
          <w:sz w:val="22"/>
          <w:szCs w:val="22"/>
        </w:rPr>
        <w:t>‑</w:t>
      </w:r>
      <w:r w:rsidRPr="00193BFB">
        <w:rPr>
          <w:rFonts w:ascii="Arial" w:hAnsi="Arial" w:cs="Arial"/>
          <w:sz w:val="22"/>
          <w:szCs w:val="22"/>
        </w:rPr>
        <w:t>, and post</w:t>
      </w:r>
      <w:r w:rsidRPr="00193BFB">
        <w:rPr>
          <w:rFonts w:ascii="Cambria Math" w:hAnsi="Cambria Math" w:cs="Cambria Math"/>
          <w:sz w:val="22"/>
          <w:szCs w:val="22"/>
        </w:rPr>
        <w:t>‑</w:t>
      </w:r>
      <w:r w:rsidRPr="00193BFB">
        <w:rPr>
          <w:rFonts w:ascii="Arial" w:hAnsi="Arial" w:cs="Arial"/>
          <w:sz w:val="22"/>
          <w:szCs w:val="22"/>
        </w:rPr>
        <w:t>acute care)</w:t>
      </w:r>
    </w:p>
    <w:p w14:paraId="553DC3C1" w14:textId="540D9889" w:rsidR="00193BFB" w:rsidRPr="00193BFB" w:rsidRDefault="00193BFB" w:rsidP="00193BFB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 w:val="22"/>
          <w:szCs w:val="22"/>
        </w:rPr>
      </w:pPr>
      <w:proofErr w:type="gramStart"/>
      <w:r w:rsidRPr="00193BFB">
        <w:rPr>
          <w:rFonts w:ascii="Arial" w:hAnsi="Arial" w:cs="Arial"/>
          <w:sz w:val="22"/>
          <w:szCs w:val="22"/>
        </w:rPr>
        <w:t>Introduce</w:t>
      </w:r>
      <w:proofErr w:type="gramEnd"/>
      <w:r w:rsidRPr="00193BFB">
        <w:rPr>
          <w:rFonts w:ascii="Arial" w:hAnsi="Arial" w:cs="Arial"/>
          <w:sz w:val="22"/>
          <w:szCs w:val="22"/>
        </w:rPr>
        <w:t xml:space="preserve"> outcome accountability</w:t>
      </w:r>
    </w:p>
    <w:p w14:paraId="3D8BA1E6" w14:textId="5246D58E" w:rsidR="00193BFB" w:rsidRPr="00193BFB" w:rsidRDefault="00193BFB" w:rsidP="00193BFB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193BFB">
        <w:rPr>
          <w:rFonts w:ascii="Arial" w:hAnsi="Arial" w:cs="Arial"/>
          <w:sz w:val="22"/>
          <w:szCs w:val="22"/>
        </w:rPr>
        <w:t>Incorporate PROMs, PREMs, and CROMs</w:t>
      </w:r>
    </w:p>
    <w:p w14:paraId="30CEC5C7" w14:textId="5C47666F" w:rsidR="00193BFB" w:rsidRPr="00193BFB" w:rsidRDefault="00193BFB" w:rsidP="00193BFB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193BFB">
        <w:rPr>
          <w:rFonts w:ascii="Arial" w:hAnsi="Arial" w:cs="Arial"/>
          <w:sz w:val="22"/>
          <w:szCs w:val="22"/>
        </w:rPr>
        <w:t>Reward quality, efficiency, and care coordination</w:t>
      </w:r>
    </w:p>
    <w:p w14:paraId="00206B41" w14:textId="24843612" w:rsidR="00193BFB" w:rsidRPr="00193BFB" w:rsidRDefault="00193BFB" w:rsidP="00193BFB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193BFB">
        <w:rPr>
          <w:rFonts w:ascii="Arial" w:hAnsi="Arial" w:cs="Arial"/>
          <w:sz w:val="22"/>
          <w:szCs w:val="22"/>
        </w:rPr>
        <w:t>Introduce shared</w:t>
      </w:r>
      <w:r w:rsidRPr="00193BFB">
        <w:rPr>
          <w:rFonts w:ascii="Cambria Math" w:hAnsi="Cambria Math" w:cs="Cambria Math"/>
          <w:sz w:val="22"/>
          <w:szCs w:val="22"/>
        </w:rPr>
        <w:t>‑</w:t>
      </w:r>
      <w:r w:rsidRPr="00193BFB">
        <w:rPr>
          <w:rFonts w:ascii="Arial" w:hAnsi="Arial" w:cs="Arial"/>
          <w:sz w:val="22"/>
          <w:szCs w:val="22"/>
        </w:rPr>
        <w:t>savings and risk</w:t>
      </w:r>
      <w:r w:rsidRPr="00193BFB">
        <w:rPr>
          <w:rFonts w:ascii="Cambria Math" w:hAnsi="Cambria Math" w:cs="Cambria Math"/>
          <w:sz w:val="22"/>
          <w:szCs w:val="22"/>
        </w:rPr>
        <w:t>‑</w:t>
      </w:r>
      <w:r w:rsidRPr="00193BFB">
        <w:rPr>
          <w:rFonts w:ascii="Arial" w:hAnsi="Arial" w:cs="Arial"/>
          <w:sz w:val="22"/>
          <w:szCs w:val="22"/>
        </w:rPr>
        <w:t>sharing mechanisms</w:t>
      </w:r>
    </w:p>
    <w:p w14:paraId="4E5B5240" w14:textId="080B728D" w:rsidR="00193BFB" w:rsidRDefault="00193BFB" w:rsidP="00193BFB">
      <w:pPr>
        <w:ind w:left="360"/>
        <w:jc w:val="both"/>
        <w:rPr>
          <w:rFonts w:ascii="Arial" w:hAnsi="Arial" w:cs="Arial"/>
          <w:sz w:val="22"/>
          <w:szCs w:val="22"/>
        </w:rPr>
      </w:pPr>
      <w:r w:rsidRPr="00193BFB">
        <w:rPr>
          <w:rFonts w:ascii="Arial" w:hAnsi="Arial" w:cs="Arial"/>
          <w:sz w:val="22"/>
          <w:szCs w:val="22"/>
        </w:rPr>
        <w:t>Together, they form a complete value</w:t>
      </w:r>
      <w:r w:rsidRPr="00193BFB">
        <w:rPr>
          <w:rFonts w:ascii="Cambria Math" w:hAnsi="Cambria Math" w:cs="Cambria Math"/>
          <w:sz w:val="22"/>
          <w:szCs w:val="22"/>
        </w:rPr>
        <w:t>‑</w:t>
      </w:r>
      <w:r w:rsidRPr="00193BFB">
        <w:rPr>
          <w:rFonts w:ascii="Arial" w:hAnsi="Arial" w:cs="Arial"/>
          <w:sz w:val="22"/>
          <w:szCs w:val="22"/>
        </w:rPr>
        <w:t>based payment ecosystem, where DRGs provide the structural backbone and VBC provides the incentive framework that drives improved outcomes.</w:t>
      </w:r>
    </w:p>
    <w:p w14:paraId="50B3AC4F" w14:textId="3FB2B42F" w:rsidR="00193BFB" w:rsidRPr="00DC4D84" w:rsidRDefault="00193BFB" w:rsidP="00193BFB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b/>
          <w:bCs/>
        </w:rPr>
      </w:pPr>
      <w:r w:rsidRPr="00DC4D84">
        <w:rPr>
          <w:rFonts w:ascii="Arial" w:hAnsi="Arial" w:cs="Arial"/>
          <w:b/>
          <w:bCs/>
        </w:rPr>
        <w:t>How DRGs Strengthen VBC</w:t>
      </w:r>
    </w:p>
    <w:p w14:paraId="04E8698A" w14:textId="77777777" w:rsidR="00DC4D84" w:rsidRPr="00DC4D84" w:rsidRDefault="00DC4D84" w:rsidP="00DC4D84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  <w:r w:rsidRPr="00DC4D84">
        <w:rPr>
          <w:rFonts w:ascii="Arial" w:hAnsi="Arial" w:cs="Arial"/>
          <w:sz w:val="22"/>
          <w:szCs w:val="22"/>
        </w:rPr>
        <w:t>DRGs provide several essential enablers for effective VBC implementation:</w:t>
      </w:r>
    </w:p>
    <w:p w14:paraId="63258123" w14:textId="24595424" w:rsidR="00DC4D84" w:rsidRPr="00DC4D84" w:rsidRDefault="00DC4D84" w:rsidP="00DC4D84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2"/>
          <w:szCs w:val="22"/>
        </w:rPr>
      </w:pPr>
      <w:r w:rsidRPr="00DC4D84">
        <w:rPr>
          <w:rFonts w:ascii="Arial" w:hAnsi="Arial" w:cs="Arial"/>
          <w:sz w:val="22"/>
          <w:szCs w:val="22"/>
        </w:rPr>
        <w:t>Reliable cost baselines for bundle pricing</w:t>
      </w:r>
    </w:p>
    <w:p w14:paraId="30D809C9" w14:textId="6D019412" w:rsidR="00DC4D84" w:rsidRPr="00DC4D84" w:rsidRDefault="00DC4D84" w:rsidP="00DC4D84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2"/>
          <w:szCs w:val="22"/>
        </w:rPr>
      </w:pPr>
      <w:r w:rsidRPr="00DC4D84">
        <w:rPr>
          <w:rFonts w:ascii="Arial" w:hAnsi="Arial" w:cs="Arial"/>
          <w:sz w:val="22"/>
          <w:szCs w:val="22"/>
        </w:rPr>
        <w:t>Case</w:t>
      </w:r>
      <w:r w:rsidRPr="00DC4D84">
        <w:rPr>
          <w:rFonts w:ascii="Cambria Math" w:hAnsi="Cambria Math" w:cs="Cambria Math"/>
          <w:sz w:val="22"/>
          <w:szCs w:val="22"/>
        </w:rPr>
        <w:t>‑</w:t>
      </w:r>
      <w:r w:rsidRPr="00DC4D84">
        <w:rPr>
          <w:rFonts w:ascii="Arial" w:hAnsi="Arial" w:cs="Arial"/>
          <w:sz w:val="22"/>
          <w:szCs w:val="22"/>
        </w:rPr>
        <w:t>mix adjustment to ensure fair comparisons</w:t>
      </w:r>
    </w:p>
    <w:p w14:paraId="6AFC3756" w14:textId="52626581" w:rsidR="00DC4D84" w:rsidRPr="00DC4D84" w:rsidRDefault="00DC4D84" w:rsidP="00DC4D84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2"/>
          <w:szCs w:val="22"/>
        </w:rPr>
      </w:pPr>
      <w:r w:rsidRPr="00DC4D84">
        <w:rPr>
          <w:rFonts w:ascii="Arial" w:hAnsi="Arial" w:cs="Arial"/>
          <w:sz w:val="22"/>
          <w:szCs w:val="22"/>
        </w:rPr>
        <w:t>Severity levels that support risk adjustment</w:t>
      </w:r>
    </w:p>
    <w:p w14:paraId="68E3DDD8" w14:textId="127FAED4" w:rsidR="00DC4D84" w:rsidRPr="00DC4D84" w:rsidRDefault="00DC4D84" w:rsidP="00DC4D84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2"/>
          <w:szCs w:val="22"/>
        </w:rPr>
      </w:pPr>
      <w:r w:rsidRPr="00DC4D84">
        <w:rPr>
          <w:rFonts w:ascii="Arial" w:hAnsi="Arial" w:cs="Arial"/>
          <w:sz w:val="22"/>
          <w:szCs w:val="22"/>
        </w:rPr>
        <w:lastRenderedPageBreak/>
        <w:t>Transparency into inpatient variation</w:t>
      </w:r>
    </w:p>
    <w:p w14:paraId="08C28E33" w14:textId="22503EE1" w:rsidR="00DC4D84" w:rsidRPr="00DC4D84" w:rsidRDefault="00DC4D84" w:rsidP="00DC4D84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2"/>
          <w:szCs w:val="22"/>
        </w:rPr>
      </w:pPr>
      <w:r w:rsidRPr="00DC4D84">
        <w:rPr>
          <w:rFonts w:ascii="Arial" w:hAnsi="Arial" w:cs="Arial"/>
          <w:sz w:val="22"/>
          <w:szCs w:val="22"/>
        </w:rPr>
        <w:t>Benchmarking inputs for MSR, risk corridors, and outlier rules</w:t>
      </w:r>
    </w:p>
    <w:p w14:paraId="2366AB54" w14:textId="2AD5EF21" w:rsidR="00193BFB" w:rsidRDefault="00DC4D84" w:rsidP="00DC4D84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  <w:r w:rsidRPr="00DC4D84">
        <w:rPr>
          <w:rFonts w:ascii="Arial" w:hAnsi="Arial" w:cs="Arial"/>
          <w:sz w:val="22"/>
          <w:szCs w:val="22"/>
        </w:rPr>
        <w:t>These elements are critical for designing credible, defensible, and sustainable VBC contracts.</w:t>
      </w:r>
    </w:p>
    <w:p w14:paraId="7BC852D6" w14:textId="77777777" w:rsidR="00DC4D84" w:rsidRPr="00193BFB" w:rsidRDefault="00DC4D84" w:rsidP="00DC4D84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</w:p>
    <w:p w14:paraId="0EEA653E" w14:textId="65A1AA76" w:rsidR="00193BFB" w:rsidRPr="00DC4D84" w:rsidRDefault="00DC4D84" w:rsidP="00DC4D84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b/>
          <w:bCs/>
        </w:rPr>
      </w:pPr>
      <w:r w:rsidRPr="00DC4D84">
        <w:rPr>
          <w:rFonts w:ascii="Arial" w:hAnsi="Arial" w:cs="Arial"/>
          <w:b/>
          <w:bCs/>
        </w:rPr>
        <w:t>How VBC Strengthens DRGs</w:t>
      </w:r>
    </w:p>
    <w:p w14:paraId="7F9F9135" w14:textId="23EA0551" w:rsidR="00DC4D84" w:rsidRDefault="00DC4D84" w:rsidP="00DC4D84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  <w:r w:rsidRPr="00DC4D84">
        <w:rPr>
          <w:rFonts w:ascii="Arial" w:hAnsi="Arial" w:cs="Arial"/>
          <w:sz w:val="22"/>
          <w:szCs w:val="22"/>
        </w:rPr>
        <w:t>VBC adds the outcome</w:t>
      </w:r>
      <w:r w:rsidRPr="00DC4D84">
        <w:rPr>
          <w:rFonts w:ascii="Cambria Math" w:hAnsi="Cambria Math" w:cs="Cambria Math"/>
          <w:sz w:val="22"/>
          <w:szCs w:val="22"/>
        </w:rPr>
        <w:t>‑</w:t>
      </w:r>
      <w:r w:rsidRPr="00DC4D84">
        <w:rPr>
          <w:rFonts w:ascii="Arial" w:hAnsi="Arial" w:cs="Arial"/>
          <w:sz w:val="22"/>
          <w:szCs w:val="22"/>
        </w:rPr>
        <w:t>oriented components that DRGs alone cannot deliver:</w:t>
      </w:r>
    </w:p>
    <w:p w14:paraId="737AA003" w14:textId="05B405AA" w:rsidR="00F30E37" w:rsidRPr="00F30E37" w:rsidRDefault="00F30E37" w:rsidP="00F30E37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2"/>
          <w:szCs w:val="22"/>
        </w:rPr>
      </w:pPr>
      <w:r w:rsidRPr="00F30E37">
        <w:rPr>
          <w:rFonts w:ascii="Arial" w:hAnsi="Arial" w:cs="Arial"/>
          <w:sz w:val="22"/>
          <w:szCs w:val="22"/>
        </w:rPr>
        <w:t>Outcome accountability beyond the inpatient stay</w:t>
      </w:r>
    </w:p>
    <w:p w14:paraId="42597805" w14:textId="13396DCA" w:rsidR="00F30E37" w:rsidRPr="00F30E37" w:rsidRDefault="00F30E37" w:rsidP="00F30E37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2"/>
          <w:szCs w:val="22"/>
        </w:rPr>
      </w:pPr>
      <w:r w:rsidRPr="00F30E37">
        <w:rPr>
          <w:rFonts w:ascii="Arial" w:hAnsi="Arial" w:cs="Arial"/>
          <w:sz w:val="22"/>
          <w:szCs w:val="22"/>
        </w:rPr>
        <w:t>PROMs/PREMs/CROMs to capture patient</w:t>
      </w:r>
      <w:r w:rsidRPr="00F30E37">
        <w:rPr>
          <w:rFonts w:ascii="Cambria Math" w:hAnsi="Cambria Math" w:cs="Cambria Math"/>
          <w:sz w:val="22"/>
          <w:szCs w:val="22"/>
        </w:rPr>
        <w:t>‑</w:t>
      </w:r>
      <w:r w:rsidRPr="00F30E37">
        <w:rPr>
          <w:rFonts w:ascii="Arial" w:hAnsi="Arial" w:cs="Arial"/>
          <w:sz w:val="22"/>
          <w:szCs w:val="22"/>
        </w:rPr>
        <w:t>centered results</w:t>
      </w:r>
    </w:p>
    <w:p w14:paraId="7D5E2510" w14:textId="586F708F" w:rsidR="00F30E37" w:rsidRPr="00F30E37" w:rsidRDefault="00F30E37" w:rsidP="00F30E37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2"/>
          <w:szCs w:val="22"/>
        </w:rPr>
      </w:pPr>
      <w:r w:rsidRPr="00F30E37">
        <w:rPr>
          <w:rFonts w:ascii="Arial" w:hAnsi="Arial" w:cs="Arial"/>
          <w:sz w:val="22"/>
          <w:szCs w:val="22"/>
        </w:rPr>
        <w:t>Incentives to reduce complications and readmissions</w:t>
      </w:r>
    </w:p>
    <w:p w14:paraId="1FC0E16F" w14:textId="299C811F" w:rsidR="00F30E37" w:rsidRPr="00F30E37" w:rsidRDefault="00F30E37" w:rsidP="00F30E37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2"/>
          <w:szCs w:val="22"/>
        </w:rPr>
      </w:pPr>
      <w:r w:rsidRPr="00F30E37">
        <w:rPr>
          <w:rFonts w:ascii="Arial" w:hAnsi="Arial" w:cs="Arial"/>
          <w:sz w:val="22"/>
          <w:szCs w:val="22"/>
        </w:rPr>
        <w:t>Care coordination across the full episode of care</w:t>
      </w:r>
    </w:p>
    <w:p w14:paraId="5A562D53" w14:textId="2D8CAC66" w:rsidR="00DC4D84" w:rsidRDefault="00F30E37" w:rsidP="00F30E37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  <w:r w:rsidRPr="00F30E37">
        <w:rPr>
          <w:rFonts w:ascii="Arial" w:hAnsi="Arial" w:cs="Arial"/>
          <w:sz w:val="22"/>
          <w:szCs w:val="22"/>
        </w:rPr>
        <w:t>This ensures that DRGs do not become purely cost</w:t>
      </w:r>
      <w:r w:rsidRPr="00F30E37">
        <w:rPr>
          <w:rFonts w:ascii="Cambria Math" w:hAnsi="Cambria Math" w:cs="Cambria Math"/>
          <w:sz w:val="22"/>
          <w:szCs w:val="22"/>
        </w:rPr>
        <w:t>‑</w:t>
      </w:r>
      <w:r w:rsidRPr="00F30E37">
        <w:rPr>
          <w:rFonts w:ascii="Arial" w:hAnsi="Arial" w:cs="Arial"/>
          <w:sz w:val="22"/>
          <w:szCs w:val="22"/>
        </w:rPr>
        <w:t xml:space="preserve">containment </w:t>
      </w:r>
      <w:r w:rsidRPr="00F30E37">
        <w:rPr>
          <w:rFonts w:ascii="Arial" w:hAnsi="Arial" w:cs="Arial"/>
          <w:sz w:val="22"/>
          <w:szCs w:val="22"/>
        </w:rPr>
        <w:t>tools but</w:t>
      </w:r>
      <w:r w:rsidRPr="00F30E37">
        <w:rPr>
          <w:rFonts w:ascii="Arial" w:hAnsi="Arial" w:cs="Arial"/>
          <w:sz w:val="22"/>
          <w:szCs w:val="22"/>
        </w:rPr>
        <w:t xml:space="preserve"> instead support a broader value</w:t>
      </w:r>
      <w:r w:rsidRPr="00F30E37">
        <w:rPr>
          <w:rFonts w:ascii="Cambria Math" w:hAnsi="Cambria Math" w:cs="Cambria Math"/>
          <w:sz w:val="22"/>
          <w:szCs w:val="22"/>
        </w:rPr>
        <w:t>‑</w:t>
      </w:r>
      <w:r w:rsidRPr="00F30E37">
        <w:rPr>
          <w:rFonts w:ascii="Arial" w:hAnsi="Arial" w:cs="Arial"/>
          <w:sz w:val="22"/>
          <w:szCs w:val="22"/>
        </w:rPr>
        <w:t>based transformation.</w:t>
      </w:r>
    </w:p>
    <w:p w14:paraId="70A576AB" w14:textId="77777777" w:rsidR="00F30E37" w:rsidRPr="00DC4D84" w:rsidRDefault="00F30E37" w:rsidP="00F30E37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</w:p>
    <w:p w14:paraId="2EEB5544" w14:textId="3CD86B9B" w:rsidR="00193BFB" w:rsidRPr="00F30E37" w:rsidRDefault="00F30E37" w:rsidP="00F30E37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b/>
          <w:bCs/>
        </w:rPr>
      </w:pPr>
      <w:r w:rsidRPr="00F30E37">
        <w:rPr>
          <w:rFonts w:ascii="Arial" w:hAnsi="Arial" w:cs="Arial"/>
          <w:b/>
          <w:bCs/>
        </w:rPr>
        <w:t>Risks of Implementing DRGs and VBC Bundles Together</w:t>
      </w:r>
      <w:r w:rsidR="00D4458B">
        <w:rPr>
          <w:rFonts w:ascii="Arial" w:hAnsi="Arial" w:cs="Arial"/>
          <w:b/>
          <w:bCs/>
        </w:rPr>
        <w:t xml:space="preserve"> - </w:t>
      </w:r>
      <w:r w:rsidRPr="00F30E37">
        <w:rPr>
          <w:rFonts w:ascii="Arial" w:hAnsi="Arial" w:cs="Arial"/>
          <w:b/>
          <w:bCs/>
        </w:rPr>
        <w:t>and How to Mitigate Them</w:t>
      </w:r>
    </w:p>
    <w:p w14:paraId="2768A3C1" w14:textId="3F2745C3" w:rsidR="00F30E37" w:rsidRDefault="00D4458B" w:rsidP="00F30E37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  <w:r w:rsidRPr="00D4458B">
        <w:rPr>
          <w:rFonts w:ascii="Arial" w:hAnsi="Arial" w:cs="Arial"/>
          <w:sz w:val="22"/>
          <w:szCs w:val="22"/>
        </w:rPr>
        <w:t>Implementing both reforms in parallel is strategically sound, but it does introduce operational and behavioral risks. These risks are manageable with clear governance, communication, and sequencing.</w:t>
      </w:r>
    </w:p>
    <w:p w14:paraId="00572C34" w14:textId="77777777" w:rsidR="00D4458B" w:rsidRDefault="00D4458B" w:rsidP="00F30E37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</w:p>
    <w:p w14:paraId="6F1A463C" w14:textId="42F149E9" w:rsidR="00D4458B" w:rsidRPr="00D4458B" w:rsidRDefault="00D4458B" w:rsidP="00F30E37">
      <w:pPr>
        <w:pStyle w:val="ListParagraph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D4458B">
        <w:rPr>
          <w:rFonts w:ascii="Arial" w:hAnsi="Arial" w:cs="Arial"/>
          <w:b/>
          <w:bCs/>
          <w:sz w:val="22"/>
          <w:szCs w:val="22"/>
        </w:rPr>
        <w:t>Summary of Key Risks and Mitigation Strategies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340"/>
        <w:gridCol w:w="6655"/>
      </w:tblGrid>
      <w:tr w:rsidR="003A5698" w:rsidRPr="00AF3E7D" w14:paraId="10B7950A" w14:textId="77777777" w:rsidTr="003A5698">
        <w:tc>
          <w:tcPr>
            <w:tcW w:w="2340" w:type="dxa"/>
          </w:tcPr>
          <w:p w14:paraId="0D2874C8" w14:textId="77777777" w:rsidR="003A5698" w:rsidRPr="00B84808" w:rsidRDefault="003A5698" w:rsidP="00D3064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84808">
              <w:rPr>
                <w:rFonts w:ascii="Arial" w:hAnsi="Arial" w:cs="Arial"/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6655" w:type="dxa"/>
          </w:tcPr>
          <w:p w14:paraId="6414E58F" w14:textId="77777777" w:rsidR="003A5698" w:rsidRPr="00B84808" w:rsidRDefault="003A5698" w:rsidP="00D30642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84808">
              <w:rPr>
                <w:rFonts w:ascii="Arial" w:hAnsi="Arial" w:cs="Arial"/>
                <w:b/>
                <w:bCs/>
                <w:sz w:val="22"/>
                <w:szCs w:val="22"/>
              </w:rPr>
              <w:t>Mitigation Strategy</w:t>
            </w:r>
          </w:p>
        </w:tc>
      </w:tr>
      <w:tr w:rsidR="003A5698" w:rsidRPr="00AF3E7D" w14:paraId="4E3900D9" w14:textId="77777777" w:rsidTr="003A5698">
        <w:trPr>
          <w:trHeight w:val="2519"/>
        </w:trPr>
        <w:tc>
          <w:tcPr>
            <w:tcW w:w="2340" w:type="dxa"/>
          </w:tcPr>
          <w:p w14:paraId="6DDD5E4C" w14:textId="77777777" w:rsidR="003A5698" w:rsidRPr="00AF3E7D" w:rsidRDefault="003A5698" w:rsidP="00D30642">
            <w:pPr>
              <w:rPr>
                <w:rFonts w:ascii="Arial" w:hAnsi="Arial" w:cs="Arial"/>
                <w:sz w:val="22"/>
                <w:szCs w:val="22"/>
              </w:rPr>
            </w:pPr>
            <w:r w:rsidRPr="00AF3E7D">
              <w:rPr>
                <w:rFonts w:ascii="Arial" w:hAnsi="Arial" w:cs="Arial"/>
                <w:sz w:val="22"/>
                <w:szCs w:val="22"/>
              </w:rPr>
              <w:t>Payment Confusion and Mixed Incentives</w:t>
            </w:r>
          </w:p>
        </w:tc>
        <w:tc>
          <w:tcPr>
            <w:tcW w:w="6655" w:type="dxa"/>
          </w:tcPr>
          <w:p w14:paraId="60777641" w14:textId="5FCD03E1" w:rsidR="003A5698" w:rsidRPr="003A5698" w:rsidRDefault="003A5698" w:rsidP="003A569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5698">
              <w:rPr>
                <w:rFonts w:ascii="Arial" w:hAnsi="Arial" w:cs="Arial"/>
                <w:sz w:val="22"/>
                <w:szCs w:val="22"/>
              </w:rPr>
              <w:t>Establish a clear payment hierarchy:</w:t>
            </w:r>
          </w:p>
          <w:p w14:paraId="62008423" w14:textId="00CA29B1" w:rsidR="003A5698" w:rsidRPr="00AF3E7D" w:rsidRDefault="003A5698" w:rsidP="00D30642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F3E7D">
              <w:rPr>
                <w:rFonts w:ascii="Arial" w:hAnsi="Arial" w:cs="Arial"/>
                <w:sz w:val="22"/>
                <w:szCs w:val="22"/>
              </w:rPr>
              <w:t>For the 7 VBC bundles - the bundle is the primary payment model</w:t>
            </w:r>
          </w:p>
          <w:p w14:paraId="48DA1B77" w14:textId="66AE097F" w:rsidR="003A5698" w:rsidRPr="00AF3E7D" w:rsidRDefault="003A5698" w:rsidP="00D30642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F3E7D">
              <w:rPr>
                <w:rFonts w:ascii="Arial" w:hAnsi="Arial" w:cs="Arial"/>
                <w:sz w:val="22"/>
                <w:szCs w:val="22"/>
              </w:rPr>
              <w:t>For all other inpatient activity - DRGs will be the standard reimbursement model once fully implemented</w:t>
            </w:r>
          </w:p>
          <w:p w14:paraId="725C7B85" w14:textId="77777777" w:rsidR="003A5698" w:rsidRPr="003A5698" w:rsidRDefault="003A5698" w:rsidP="003A569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5698">
              <w:rPr>
                <w:rFonts w:ascii="Arial" w:hAnsi="Arial" w:cs="Arial"/>
                <w:sz w:val="22"/>
                <w:szCs w:val="22"/>
              </w:rPr>
              <w:t>Issue a CHI circular clarifying:</w:t>
            </w:r>
          </w:p>
          <w:p w14:paraId="60FB8E9B" w14:textId="3DAF2EB2" w:rsidR="003A5698" w:rsidRPr="00AF3E7D" w:rsidRDefault="003A5698" w:rsidP="003A5698">
            <w:pPr>
              <w:pStyle w:val="ListParagraph"/>
              <w:numPr>
                <w:ilvl w:val="0"/>
                <w:numId w:val="15"/>
              </w:numPr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F3E7D">
              <w:rPr>
                <w:rFonts w:ascii="Arial" w:hAnsi="Arial" w:cs="Arial"/>
                <w:sz w:val="22"/>
                <w:szCs w:val="22"/>
              </w:rPr>
              <w:t>No double payment</w:t>
            </w:r>
          </w:p>
          <w:p w14:paraId="252D1B0F" w14:textId="20074A15" w:rsidR="003A5698" w:rsidRPr="003A5698" w:rsidRDefault="003A5698" w:rsidP="003A5698">
            <w:pPr>
              <w:pStyle w:val="ListParagraph"/>
              <w:numPr>
                <w:ilvl w:val="0"/>
                <w:numId w:val="15"/>
              </w:numPr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F3E7D">
              <w:rPr>
                <w:rFonts w:ascii="Arial" w:hAnsi="Arial" w:cs="Arial"/>
                <w:sz w:val="22"/>
                <w:szCs w:val="22"/>
              </w:rPr>
              <w:t>No parallel DRG billing for bundled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A5698">
              <w:rPr>
                <w:rFonts w:ascii="Arial" w:hAnsi="Arial" w:cs="Arial"/>
                <w:sz w:val="22"/>
                <w:szCs w:val="22"/>
              </w:rPr>
              <w:t>episodes</w:t>
            </w:r>
          </w:p>
          <w:p w14:paraId="4E73DED9" w14:textId="4B290C50" w:rsidR="003A5698" w:rsidRPr="00AF3E7D" w:rsidRDefault="003A5698" w:rsidP="003A5698">
            <w:pPr>
              <w:pStyle w:val="ListParagraph"/>
              <w:numPr>
                <w:ilvl w:val="0"/>
                <w:numId w:val="15"/>
              </w:numPr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  <w:r w:rsidRPr="003A5698">
              <w:rPr>
                <w:rFonts w:ascii="Arial" w:hAnsi="Arial" w:cs="Arial"/>
                <w:sz w:val="22"/>
                <w:szCs w:val="22"/>
              </w:rPr>
              <w:t>ules for transfers, complications, and readmissions.</w:t>
            </w:r>
          </w:p>
        </w:tc>
      </w:tr>
      <w:tr w:rsidR="003A5698" w:rsidRPr="00AF3E7D" w14:paraId="22029593" w14:textId="77777777" w:rsidTr="003A5698">
        <w:trPr>
          <w:trHeight w:val="1250"/>
        </w:trPr>
        <w:tc>
          <w:tcPr>
            <w:tcW w:w="2340" w:type="dxa"/>
          </w:tcPr>
          <w:p w14:paraId="7BE272C0" w14:textId="77777777" w:rsidR="003A5698" w:rsidRPr="00AF3E7D" w:rsidRDefault="003A5698" w:rsidP="00D30642">
            <w:pPr>
              <w:rPr>
                <w:rFonts w:ascii="Arial" w:hAnsi="Arial" w:cs="Arial"/>
                <w:sz w:val="22"/>
                <w:szCs w:val="22"/>
              </w:rPr>
            </w:pPr>
            <w:r w:rsidRPr="00AF3E7D">
              <w:rPr>
                <w:rFonts w:ascii="Arial" w:hAnsi="Arial" w:cs="Arial"/>
                <w:sz w:val="22"/>
                <w:szCs w:val="22"/>
              </w:rPr>
              <w:t>Coding and Documentation Burden</w:t>
            </w:r>
          </w:p>
        </w:tc>
        <w:tc>
          <w:tcPr>
            <w:tcW w:w="6655" w:type="dxa"/>
          </w:tcPr>
          <w:p w14:paraId="39591B7F" w14:textId="77777777" w:rsidR="003A5698" w:rsidRPr="00AF3E7D" w:rsidRDefault="003A5698" w:rsidP="00D306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F3E7D">
              <w:rPr>
                <w:rFonts w:ascii="Arial" w:hAnsi="Arial" w:cs="Arial"/>
                <w:sz w:val="22"/>
                <w:szCs w:val="22"/>
              </w:rPr>
              <w:t>Align data requirements across both systems:</w:t>
            </w:r>
          </w:p>
          <w:p w14:paraId="2A80B8C5" w14:textId="229CEED6" w:rsidR="003A5698" w:rsidRPr="00AF3E7D" w:rsidRDefault="003A5698" w:rsidP="003A5698">
            <w:pPr>
              <w:pStyle w:val="ListParagraph"/>
              <w:numPr>
                <w:ilvl w:val="0"/>
                <w:numId w:val="15"/>
              </w:numPr>
              <w:ind w:left="340" w:hanging="34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F3E7D">
              <w:rPr>
                <w:rFonts w:ascii="Arial" w:hAnsi="Arial" w:cs="Arial"/>
                <w:sz w:val="22"/>
                <w:szCs w:val="22"/>
              </w:rPr>
              <w:t>Use the same coding standards (ICD</w:t>
            </w:r>
            <w:r w:rsidRPr="00AF3E7D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AF3E7D">
              <w:rPr>
                <w:rFonts w:ascii="Arial" w:hAnsi="Arial" w:cs="Arial"/>
                <w:sz w:val="22"/>
                <w:szCs w:val="22"/>
              </w:rPr>
              <w:t>10</w:t>
            </w:r>
            <w:r w:rsidRPr="00AF3E7D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AF3E7D">
              <w:rPr>
                <w:rFonts w:ascii="Arial" w:hAnsi="Arial" w:cs="Arial"/>
                <w:sz w:val="22"/>
                <w:szCs w:val="22"/>
              </w:rPr>
              <w:t>AM, SBS)</w:t>
            </w:r>
          </w:p>
          <w:p w14:paraId="273D2B0B" w14:textId="7983494D" w:rsidR="003A5698" w:rsidRPr="00AF3E7D" w:rsidRDefault="003A5698" w:rsidP="003A5698">
            <w:pPr>
              <w:pStyle w:val="ListParagraph"/>
              <w:numPr>
                <w:ilvl w:val="0"/>
                <w:numId w:val="15"/>
              </w:numPr>
              <w:ind w:left="340" w:hanging="34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F3E7D">
              <w:rPr>
                <w:rFonts w:ascii="Arial" w:hAnsi="Arial" w:cs="Arial"/>
                <w:sz w:val="22"/>
                <w:szCs w:val="22"/>
              </w:rPr>
              <w:t xml:space="preserve">Use DRG severity levels as </w:t>
            </w:r>
            <w:proofErr w:type="gramStart"/>
            <w:r w:rsidRPr="00AF3E7D">
              <w:rPr>
                <w:rFonts w:ascii="Arial" w:hAnsi="Arial" w:cs="Arial"/>
                <w:sz w:val="22"/>
                <w:szCs w:val="22"/>
              </w:rPr>
              <w:t>inputs</w:t>
            </w:r>
            <w:proofErr w:type="gramEnd"/>
            <w:r w:rsidRPr="00AF3E7D">
              <w:rPr>
                <w:rFonts w:ascii="Arial" w:hAnsi="Arial" w:cs="Arial"/>
                <w:sz w:val="22"/>
                <w:szCs w:val="22"/>
              </w:rPr>
              <w:t xml:space="preserve"> for VBC risk adjustment</w:t>
            </w:r>
          </w:p>
          <w:p w14:paraId="70A917CA" w14:textId="3CA00CB4" w:rsidR="003A5698" w:rsidRPr="00AF3E7D" w:rsidRDefault="003A5698" w:rsidP="003A5698">
            <w:pPr>
              <w:pStyle w:val="ListParagraph"/>
              <w:numPr>
                <w:ilvl w:val="0"/>
                <w:numId w:val="15"/>
              </w:numPr>
              <w:ind w:left="340" w:hanging="34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F3E7D">
              <w:rPr>
                <w:rFonts w:ascii="Arial" w:hAnsi="Arial" w:cs="Arial"/>
                <w:sz w:val="22"/>
                <w:szCs w:val="22"/>
              </w:rPr>
              <w:t>Harmonize MDS requirements for DRG and VBC bundles</w:t>
            </w:r>
          </w:p>
        </w:tc>
      </w:tr>
      <w:tr w:rsidR="003A5698" w:rsidRPr="00AF3E7D" w14:paraId="65520EDC" w14:textId="77777777" w:rsidTr="003A5698">
        <w:tc>
          <w:tcPr>
            <w:tcW w:w="2340" w:type="dxa"/>
          </w:tcPr>
          <w:p w14:paraId="5830DF2C" w14:textId="77777777" w:rsidR="003A5698" w:rsidRPr="00AF3E7D" w:rsidRDefault="003A5698" w:rsidP="00D30642">
            <w:pPr>
              <w:rPr>
                <w:rFonts w:ascii="Arial" w:hAnsi="Arial" w:cs="Arial"/>
                <w:sz w:val="22"/>
                <w:szCs w:val="22"/>
              </w:rPr>
            </w:pPr>
            <w:r w:rsidRPr="00B84808">
              <w:rPr>
                <w:rFonts w:ascii="Arial" w:hAnsi="Arial" w:cs="Arial"/>
                <w:sz w:val="22"/>
                <w:szCs w:val="22"/>
              </w:rPr>
              <w:t>Financial Volatility and Provider Sustainability</w:t>
            </w:r>
          </w:p>
        </w:tc>
        <w:tc>
          <w:tcPr>
            <w:tcW w:w="6655" w:type="dxa"/>
          </w:tcPr>
          <w:p w14:paraId="65EE92B8" w14:textId="77777777" w:rsidR="003A5698" w:rsidRPr="00B84808" w:rsidRDefault="003A5698" w:rsidP="00D306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4808">
              <w:rPr>
                <w:rFonts w:ascii="Arial" w:hAnsi="Arial" w:cs="Arial"/>
                <w:sz w:val="22"/>
                <w:szCs w:val="22"/>
              </w:rPr>
              <w:t>Use phased financial exposure:</w:t>
            </w:r>
          </w:p>
          <w:p w14:paraId="0C7F80BA" w14:textId="77777777" w:rsidR="003A5698" w:rsidRPr="00B84808" w:rsidRDefault="003A5698" w:rsidP="00D30642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4808">
              <w:rPr>
                <w:rFonts w:ascii="Arial" w:hAnsi="Arial" w:cs="Arial"/>
                <w:sz w:val="22"/>
                <w:szCs w:val="22"/>
              </w:rPr>
              <w:t>DRGs: shadow billing → transparency → full payment</w:t>
            </w:r>
          </w:p>
          <w:p w14:paraId="127A17EB" w14:textId="77777777" w:rsidR="003A5698" w:rsidRDefault="003A5698" w:rsidP="00D30642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4808">
              <w:rPr>
                <w:rFonts w:ascii="Arial" w:hAnsi="Arial" w:cs="Arial"/>
                <w:sz w:val="22"/>
                <w:szCs w:val="22"/>
              </w:rPr>
              <w:t>VBC: upside</w:t>
            </w:r>
            <w:r w:rsidRPr="00B84808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B84808">
              <w:rPr>
                <w:rFonts w:ascii="Arial" w:hAnsi="Arial" w:cs="Arial"/>
                <w:sz w:val="22"/>
                <w:szCs w:val="22"/>
              </w:rPr>
              <w:t>only → capped downside → two</w:t>
            </w:r>
            <w:r w:rsidRPr="00B84808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B84808">
              <w:rPr>
                <w:rFonts w:ascii="Arial" w:hAnsi="Arial" w:cs="Arial"/>
                <w:sz w:val="22"/>
                <w:szCs w:val="22"/>
              </w:rPr>
              <w:t>sided risk</w:t>
            </w:r>
          </w:p>
          <w:p w14:paraId="70F45C9F" w14:textId="77777777" w:rsidR="003A5698" w:rsidRPr="00B84808" w:rsidRDefault="003A5698" w:rsidP="00D306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4808">
              <w:rPr>
                <w:rFonts w:ascii="Arial" w:hAnsi="Arial" w:cs="Arial"/>
                <w:sz w:val="22"/>
                <w:szCs w:val="22"/>
              </w:rPr>
              <w:t>Introduce financial safeguards:</w:t>
            </w:r>
          </w:p>
          <w:p w14:paraId="69924030" w14:textId="6314276F" w:rsidR="003A5698" w:rsidRPr="00B84808" w:rsidRDefault="003A5698" w:rsidP="00D30642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4808">
              <w:rPr>
                <w:rFonts w:ascii="Arial" w:hAnsi="Arial" w:cs="Arial"/>
                <w:sz w:val="22"/>
                <w:szCs w:val="22"/>
              </w:rPr>
              <w:t>Stop</w:t>
            </w:r>
            <w:r w:rsidRPr="00B84808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B84808">
              <w:rPr>
                <w:rFonts w:ascii="Arial" w:hAnsi="Arial" w:cs="Arial"/>
                <w:sz w:val="22"/>
                <w:szCs w:val="22"/>
              </w:rPr>
              <w:t>loss limits</w:t>
            </w:r>
          </w:p>
          <w:p w14:paraId="2AB5582A" w14:textId="1739C98F" w:rsidR="003A5698" w:rsidRPr="00B84808" w:rsidRDefault="003A5698" w:rsidP="00D30642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4808">
              <w:rPr>
                <w:rFonts w:ascii="Arial" w:hAnsi="Arial" w:cs="Arial"/>
                <w:sz w:val="22"/>
                <w:szCs w:val="22"/>
              </w:rPr>
              <w:t>Risk corridors</w:t>
            </w:r>
          </w:p>
          <w:p w14:paraId="0A041E39" w14:textId="1EF62C92" w:rsidR="003A5698" w:rsidRPr="00B84808" w:rsidRDefault="003A5698" w:rsidP="00D30642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4808">
              <w:rPr>
                <w:rFonts w:ascii="Arial" w:hAnsi="Arial" w:cs="Arial"/>
                <w:sz w:val="22"/>
                <w:szCs w:val="22"/>
              </w:rPr>
              <w:t>Minimum Savings Rate (MSR)</w:t>
            </w:r>
          </w:p>
          <w:p w14:paraId="5B0837D0" w14:textId="6518AAAA" w:rsidR="003A5698" w:rsidRPr="00B84808" w:rsidRDefault="003A5698" w:rsidP="00D30642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4808">
              <w:rPr>
                <w:rFonts w:ascii="Arial" w:hAnsi="Arial" w:cs="Arial"/>
                <w:sz w:val="22"/>
                <w:szCs w:val="22"/>
              </w:rPr>
              <w:t>Outlier protection for catastrophic cases</w:t>
            </w:r>
          </w:p>
        </w:tc>
      </w:tr>
      <w:tr w:rsidR="003A5698" w:rsidRPr="00AF3E7D" w14:paraId="20C7D6BA" w14:textId="77777777" w:rsidTr="003A5698">
        <w:trPr>
          <w:trHeight w:val="2510"/>
        </w:trPr>
        <w:tc>
          <w:tcPr>
            <w:tcW w:w="2340" w:type="dxa"/>
          </w:tcPr>
          <w:p w14:paraId="18110822" w14:textId="77777777" w:rsidR="003A5698" w:rsidRPr="00AF3E7D" w:rsidRDefault="003A5698" w:rsidP="00D30642">
            <w:pPr>
              <w:rPr>
                <w:rFonts w:ascii="Arial" w:hAnsi="Arial" w:cs="Arial"/>
                <w:sz w:val="22"/>
                <w:szCs w:val="22"/>
              </w:rPr>
            </w:pPr>
            <w:r w:rsidRPr="00B84808">
              <w:rPr>
                <w:rFonts w:ascii="Arial" w:hAnsi="Arial" w:cs="Arial"/>
                <w:sz w:val="22"/>
                <w:szCs w:val="22"/>
              </w:rPr>
              <w:lastRenderedPageBreak/>
              <w:t>Fragmentation of Care Pathways</w:t>
            </w:r>
          </w:p>
        </w:tc>
        <w:tc>
          <w:tcPr>
            <w:tcW w:w="6655" w:type="dxa"/>
          </w:tcPr>
          <w:p w14:paraId="6071BDA4" w14:textId="77777777" w:rsidR="003A5698" w:rsidRPr="00B84808" w:rsidRDefault="003A5698" w:rsidP="00D306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4808">
              <w:rPr>
                <w:rFonts w:ascii="Arial" w:hAnsi="Arial" w:cs="Arial"/>
                <w:sz w:val="22"/>
                <w:szCs w:val="22"/>
              </w:rPr>
              <w:t>Define clear episode boundaries for each bundle:</w:t>
            </w:r>
          </w:p>
          <w:p w14:paraId="06852CC0" w14:textId="77777777" w:rsidR="003A5698" w:rsidRPr="00B84808" w:rsidRDefault="003A5698" w:rsidP="00D30642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4808">
              <w:rPr>
                <w:rFonts w:ascii="Arial" w:hAnsi="Arial" w:cs="Arial"/>
                <w:sz w:val="22"/>
                <w:szCs w:val="22"/>
              </w:rPr>
              <w:t>Start and end points</w:t>
            </w:r>
          </w:p>
          <w:p w14:paraId="3E127201" w14:textId="77777777" w:rsidR="003A5698" w:rsidRPr="00B84808" w:rsidRDefault="003A5698" w:rsidP="00D30642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4808">
              <w:rPr>
                <w:rFonts w:ascii="Arial" w:hAnsi="Arial" w:cs="Arial"/>
                <w:sz w:val="22"/>
                <w:szCs w:val="22"/>
              </w:rPr>
              <w:t>Included and excluded services</w:t>
            </w:r>
          </w:p>
          <w:p w14:paraId="64AC694D" w14:textId="77777777" w:rsidR="003A5698" w:rsidRPr="00B84808" w:rsidRDefault="003A5698" w:rsidP="00D30642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4808">
              <w:rPr>
                <w:rFonts w:ascii="Arial" w:hAnsi="Arial" w:cs="Arial"/>
                <w:sz w:val="22"/>
                <w:szCs w:val="22"/>
              </w:rPr>
              <w:t>Readmission windows</w:t>
            </w:r>
          </w:p>
          <w:p w14:paraId="4550A01D" w14:textId="77777777" w:rsidR="003A5698" w:rsidRDefault="003A5698" w:rsidP="00D30642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4808">
              <w:rPr>
                <w:rFonts w:ascii="Arial" w:hAnsi="Arial" w:cs="Arial"/>
                <w:sz w:val="22"/>
                <w:szCs w:val="22"/>
              </w:rPr>
              <w:t>Transfer rules</w:t>
            </w:r>
          </w:p>
          <w:p w14:paraId="411B5D04" w14:textId="77777777" w:rsidR="003A5698" w:rsidRDefault="003A5698" w:rsidP="00D306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4808">
              <w:rPr>
                <w:rFonts w:ascii="Arial" w:hAnsi="Arial" w:cs="Arial"/>
                <w:sz w:val="22"/>
                <w:szCs w:val="22"/>
              </w:rPr>
              <w:t>Require documented care pathways as part of VBC Phase 1 gating criteria.</w:t>
            </w:r>
          </w:p>
          <w:p w14:paraId="51CC2C2F" w14:textId="77777777" w:rsidR="003A5698" w:rsidRPr="00B84808" w:rsidRDefault="003A5698" w:rsidP="00D306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4808">
              <w:rPr>
                <w:rFonts w:ascii="Arial" w:hAnsi="Arial" w:cs="Arial"/>
                <w:sz w:val="22"/>
                <w:szCs w:val="22"/>
              </w:rPr>
              <w:t>Use DRG data to refine bundle design (e.g., typical LOS, complication rates).</w:t>
            </w:r>
          </w:p>
        </w:tc>
      </w:tr>
      <w:tr w:rsidR="003A5698" w:rsidRPr="00AF3E7D" w14:paraId="4BCEA98E" w14:textId="77777777" w:rsidTr="000F58CF">
        <w:trPr>
          <w:trHeight w:val="980"/>
        </w:trPr>
        <w:tc>
          <w:tcPr>
            <w:tcW w:w="2340" w:type="dxa"/>
          </w:tcPr>
          <w:p w14:paraId="2D855445" w14:textId="77777777" w:rsidR="003A5698" w:rsidRPr="00AF3E7D" w:rsidRDefault="003A5698" w:rsidP="00D30642">
            <w:pPr>
              <w:rPr>
                <w:rFonts w:ascii="Arial" w:hAnsi="Arial" w:cs="Arial"/>
                <w:sz w:val="22"/>
                <w:szCs w:val="22"/>
              </w:rPr>
            </w:pPr>
            <w:r w:rsidRPr="00373AAD">
              <w:rPr>
                <w:rFonts w:ascii="Arial" w:hAnsi="Arial" w:cs="Arial"/>
                <w:sz w:val="22"/>
                <w:szCs w:val="22"/>
              </w:rPr>
              <w:t>Market Readiness and Change Fatigue</w:t>
            </w:r>
          </w:p>
        </w:tc>
        <w:tc>
          <w:tcPr>
            <w:tcW w:w="6655" w:type="dxa"/>
          </w:tcPr>
          <w:p w14:paraId="6EFEA578" w14:textId="65BCC1C4" w:rsidR="003A5698" w:rsidRPr="00373AAD" w:rsidRDefault="003A5698" w:rsidP="00D30642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73AAD">
              <w:rPr>
                <w:rFonts w:ascii="Arial" w:hAnsi="Arial" w:cs="Arial"/>
                <w:sz w:val="22"/>
                <w:szCs w:val="22"/>
              </w:rPr>
              <w:t>Stagger implementation</w:t>
            </w:r>
            <w:r w:rsidR="000F58CF">
              <w:rPr>
                <w:rFonts w:ascii="Arial" w:hAnsi="Arial" w:cs="Arial"/>
                <w:sz w:val="22"/>
                <w:szCs w:val="22"/>
              </w:rPr>
              <w:t xml:space="preserve"> timelines</w:t>
            </w:r>
          </w:p>
          <w:p w14:paraId="3A1ED498" w14:textId="6B48CA2C" w:rsidR="003A5698" w:rsidRPr="00373AAD" w:rsidRDefault="003A5698" w:rsidP="00D30642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73AAD">
              <w:rPr>
                <w:rFonts w:ascii="Arial" w:hAnsi="Arial" w:cs="Arial"/>
                <w:sz w:val="22"/>
                <w:szCs w:val="22"/>
              </w:rPr>
              <w:t>Provide a unified CHI roadmap</w:t>
            </w:r>
            <w:r w:rsidR="000F58C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F58CF" w:rsidRPr="000F58CF">
              <w:rPr>
                <w:rFonts w:ascii="Arial" w:hAnsi="Arial" w:cs="Arial"/>
                <w:sz w:val="22"/>
                <w:szCs w:val="22"/>
              </w:rPr>
              <w:t>showing how DRGs, bundles, and VBC fit together.</w:t>
            </w:r>
          </w:p>
        </w:tc>
      </w:tr>
    </w:tbl>
    <w:p w14:paraId="07FC9D99" w14:textId="77777777" w:rsidR="00F30E37" w:rsidRDefault="00F30E37" w:rsidP="003043A4">
      <w:pPr>
        <w:jc w:val="both"/>
        <w:rPr>
          <w:rFonts w:ascii="Arial" w:hAnsi="Arial" w:cs="Arial"/>
          <w:sz w:val="22"/>
          <w:szCs w:val="22"/>
        </w:rPr>
      </w:pPr>
    </w:p>
    <w:p w14:paraId="2829DE81" w14:textId="2928A9DD" w:rsidR="00F30E37" w:rsidRPr="000F58CF" w:rsidRDefault="000F58CF" w:rsidP="000F58CF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b/>
          <w:bCs/>
        </w:rPr>
      </w:pPr>
      <w:r w:rsidRPr="000F58CF">
        <w:rPr>
          <w:rFonts w:ascii="Arial" w:hAnsi="Arial" w:cs="Arial"/>
          <w:b/>
          <w:bCs/>
        </w:rPr>
        <w:t>Conclusion</w:t>
      </w:r>
    </w:p>
    <w:p w14:paraId="1BCB5242" w14:textId="77777777" w:rsidR="000F58CF" w:rsidRPr="000F58CF" w:rsidRDefault="000F58CF" w:rsidP="000F58CF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  <w:r w:rsidRPr="000F58CF">
        <w:rPr>
          <w:rFonts w:ascii="Arial" w:hAnsi="Arial" w:cs="Arial"/>
          <w:sz w:val="22"/>
          <w:szCs w:val="22"/>
        </w:rPr>
        <w:t>The VBC Guidelines and the DRG implementation initiative are strategically aligned, technically complementary, and mutually reinforcing. When integrated effectively:</w:t>
      </w:r>
    </w:p>
    <w:p w14:paraId="621F7322" w14:textId="0D4B5523" w:rsidR="000F58CF" w:rsidRPr="000F58CF" w:rsidRDefault="000F58CF" w:rsidP="000F58CF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 w:val="22"/>
          <w:szCs w:val="22"/>
        </w:rPr>
      </w:pPr>
      <w:r w:rsidRPr="000F58CF">
        <w:rPr>
          <w:rFonts w:ascii="Arial" w:hAnsi="Arial" w:cs="Arial"/>
          <w:sz w:val="22"/>
          <w:szCs w:val="22"/>
        </w:rPr>
        <w:t>DRGs provide the foundation—classification, costing, transparency.</w:t>
      </w:r>
    </w:p>
    <w:p w14:paraId="6B90D24A" w14:textId="5B0C111E" w:rsidR="000F58CF" w:rsidRPr="000F58CF" w:rsidRDefault="000F58CF" w:rsidP="000F58CF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 w:val="22"/>
          <w:szCs w:val="22"/>
        </w:rPr>
      </w:pPr>
      <w:r w:rsidRPr="000F58CF">
        <w:rPr>
          <w:rFonts w:ascii="Arial" w:hAnsi="Arial" w:cs="Arial"/>
          <w:sz w:val="22"/>
          <w:szCs w:val="22"/>
        </w:rPr>
        <w:t>Bundles provide the episode</w:t>
      </w:r>
      <w:r w:rsidRPr="000F58CF">
        <w:rPr>
          <w:rFonts w:ascii="Cambria Math" w:hAnsi="Cambria Math" w:cs="Cambria Math"/>
          <w:sz w:val="22"/>
          <w:szCs w:val="22"/>
        </w:rPr>
        <w:t>‑</w:t>
      </w:r>
      <w:r w:rsidRPr="000F58CF">
        <w:rPr>
          <w:rFonts w:ascii="Arial" w:hAnsi="Arial" w:cs="Arial"/>
          <w:sz w:val="22"/>
          <w:szCs w:val="22"/>
        </w:rPr>
        <w:t>based payment model.</w:t>
      </w:r>
    </w:p>
    <w:p w14:paraId="2DE05326" w14:textId="2574CF10" w:rsidR="000F58CF" w:rsidRPr="000F58CF" w:rsidRDefault="000F58CF" w:rsidP="000F58CF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 w:val="22"/>
          <w:szCs w:val="22"/>
        </w:rPr>
      </w:pPr>
      <w:r w:rsidRPr="000F58CF">
        <w:rPr>
          <w:rFonts w:ascii="Arial" w:hAnsi="Arial" w:cs="Arial"/>
          <w:sz w:val="22"/>
          <w:szCs w:val="22"/>
        </w:rPr>
        <w:t>VBC provides the incentive framework that links payment to outcomes.</w:t>
      </w:r>
    </w:p>
    <w:p w14:paraId="11E2B2CC" w14:textId="77777777" w:rsidR="000F58CF" w:rsidRDefault="000F58CF" w:rsidP="000F58CF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  <w:r w:rsidRPr="000F58CF">
        <w:rPr>
          <w:rFonts w:ascii="Arial" w:hAnsi="Arial" w:cs="Arial"/>
          <w:sz w:val="22"/>
          <w:szCs w:val="22"/>
        </w:rPr>
        <w:t xml:space="preserve">The combined effect is a modern, coherent, and </w:t>
      </w:r>
      <w:proofErr w:type="gramStart"/>
      <w:r w:rsidRPr="000F58CF">
        <w:rPr>
          <w:rFonts w:ascii="Arial" w:hAnsi="Arial" w:cs="Arial"/>
          <w:sz w:val="22"/>
          <w:szCs w:val="22"/>
        </w:rPr>
        <w:t>value</w:t>
      </w:r>
      <w:r w:rsidRPr="000F58CF">
        <w:rPr>
          <w:rFonts w:ascii="Cambria Math" w:hAnsi="Cambria Math" w:cs="Cambria Math"/>
          <w:sz w:val="22"/>
          <w:szCs w:val="22"/>
        </w:rPr>
        <w:t>‑</w:t>
      </w:r>
      <w:r w:rsidRPr="000F58CF">
        <w:rPr>
          <w:rFonts w:ascii="Arial" w:hAnsi="Arial" w:cs="Arial"/>
          <w:sz w:val="22"/>
          <w:szCs w:val="22"/>
        </w:rPr>
        <w:t>driven</w:t>
      </w:r>
      <w:proofErr w:type="gramEnd"/>
      <w:r w:rsidRPr="000F58CF">
        <w:rPr>
          <w:rFonts w:ascii="Arial" w:hAnsi="Arial" w:cs="Arial"/>
          <w:sz w:val="22"/>
          <w:szCs w:val="22"/>
        </w:rPr>
        <w:t xml:space="preserve"> payment system fully aligned with Vision 2030.</w:t>
      </w:r>
    </w:p>
    <w:p w14:paraId="5E09C7C0" w14:textId="77777777" w:rsidR="006E6B2D" w:rsidRPr="000F58CF" w:rsidRDefault="006E6B2D" w:rsidP="000F58CF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</w:p>
    <w:p w14:paraId="39BF4C60" w14:textId="40F1F55B" w:rsidR="000F58CF" w:rsidRPr="000F58CF" w:rsidRDefault="000F58CF" w:rsidP="000F58CF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  <w:r w:rsidRPr="000F58CF">
        <w:rPr>
          <w:rFonts w:ascii="Arial" w:hAnsi="Arial" w:cs="Arial"/>
          <w:sz w:val="22"/>
          <w:szCs w:val="22"/>
        </w:rPr>
        <w:t>The key to success lies in clear communication, consistent rules, aligned data standards, and thoughtful sequencing. With these elements in place, Saudi Arabia is well positioned to deliver a transparent, efficient, and outcome</w:t>
      </w:r>
      <w:r w:rsidRPr="000F58CF">
        <w:rPr>
          <w:rFonts w:ascii="Cambria Math" w:hAnsi="Cambria Math" w:cs="Cambria Math"/>
          <w:sz w:val="22"/>
          <w:szCs w:val="22"/>
        </w:rPr>
        <w:t>‑</w:t>
      </w:r>
      <w:r w:rsidRPr="000F58CF">
        <w:rPr>
          <w:rFonts w:ascii="Arial" w:hAnsi="Arial" w:cs="Arial"/>
          <w:sz w:val="22"/>
          <w:szCs w:val="22"/>
        </w:rPr>
        <w:t>driven private health insurance market.</w:t>
      </w:r>
    </w:p>
    <w:p w14:paraId="4D3BBF8D" w14:textId="77777777" w:rsidR="00F30E37" w:rsidRDefault="00F30E37" w:rsidP="003043A4">
      <w:pPr>
        <w:jc w:val="both"/>
        <w:rPr>
          <w:rFonts w:ascii="Arial" w:hAnsi="Arial" w:cs="Arial"/>
          <w:sz w:val="22"/>
          <w:szCs w:val="22"/>
        </w:rPr>
      </w:pPr>
    </w:p>
    <w:sectPr w:rsidR="00F30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7A05"/>
    <w:multiLevelType w:val="hybridMultilevel"/>
    <w:tmpl w:val="9070AF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75762"/>
    <w:multiLevelType w:val="hybridMultilevel"/>
    <w:tmpl w:val="414200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4D5931"/>
    <w:multiLevelType w:val="hybridMultilevel"/>
    <w:tmpl w:val="B27827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723F66"/>
    <w:multiLevelType w:val="hybridMultilevel"/>
    <w:tmpl w:val="B86E0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D0A99"/>
    <w:multiLevelType w:val="hybridMultilevel"/>
    <w:tmpl w:val="6D9C63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2B7E80"/>
    <w:multiLevelType w:val="hybridMultilevel"/>
    <w:tmpl w:val="7EC4A7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7D3320"/>
    <w:multiLevelType w:val="hybridMultilevel"/>
    <w:tmpl w:val="40B268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5277F8D"/>
    <w:multiLevelType w:val="hybridMultilevel"/>
    <w:tmpl w:val="4D0E77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8F21362"/>
    <w:multiLevelType w:val="hybridMultilevel"/>
    <w:tmpl w:val="2E56FE28"/>
    <w:lvl w:ilvl="0" w:tplc="0D54D2D8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9C65333"/>
    <w:multiLevelType w:val="hybridMultilevel"/>
    <w:tmpl w:val="015E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4238D"/>
    <w:multiLevelType w:val="hybridMultilevel"/>
    <w:tmpl w:val="407C5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0D4D4D"/>
    <w:multiLevelType w:val="hybridMultilevel"/>
    <w:tmpl w:val="6E484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C2D24"/>
    <w:multiLevelType w:val="hybridMultilevel"/>
    <w:tmpl w:val="FDA2DB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D9B220C"/>
    <w:multiLevelType w:val="hybridMultilevel"/>
    <w:tmpl w:val="BBFC3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B21BAA"/>
    <w:multiLevelType w:val="hybridMultilevel"/>
    <w:tmpl w:val="DB68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9F1FF5"/>
    <w:multiLevelType w:val="hybridMultilevel"/>
    <w:tmpl w:val="415E4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9D03EC"/>
    <w:multiLevelType w:val="hybridMultilevel"/>
    <w:tmpl w:val="69066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DB68E7"/>
    <w:multiLevelType w:val="hybridMultilevel"/>
    <w:tmpl w:val="448AB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EF5B18"/>
    <w:multiLevelType w:val="hybridMultilevel"/>
    <w:tmpl w:val="F898A5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ED9142F"/>
    <w:multiLevelType w:val="hybridMultilevel"/>
    <w:tmpl w:val="1C007E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2140924"/>
    <w:multiLevelType w:val="hybridMultilevel"/>
    <w:tmpl w:val="CB9A6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CC1986"/>
    <w:multiLevelType w:val="hybridMultilevel"/>
    <w:tmpl w:val="50CAD840"/>
    <w:lvl w:ilvl="0" w:tplc="E7BEF3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6A5C5F"/>
    <w:multiLevelType w:val="hybridMultilevel"/>
    <w:tmpl w:val="D90059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03A2453"/>
    <w:multiLevelType w:val="hybridMultilevel"/>
    <w:tmpl w:val="A87C34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66F43F0"/>
    <w:multiLevelType w:val="hybridMultilevel"/>
    <w:tmpl w:val="9628EE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7D44FB"/>
    <w:multiLevelType w:val="hybridMultilevel"/>
    <w:tmpl w:val="32D229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86800CF"/>
    <w:multiLevelType w:val="hybridMultilevel"/>
    <w:tmpl w:val="51FC80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88F685E"/>
    <w:multiLevelType w:val="hybridMultilevel"/>
    <w:tmpl w:val="CD2EE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214845">
    <w:abstractNumId w:val="9"/>
  </w:num>
  <w:num w:numId="2" w16cid:durableId="2120879418">
    <w:abstractNumId w:val="3"/>
  </w:num>
  <w:num w:numId="3" w16cid:durableId="1909802971">
    <w:abstractNumId w:val="27"/>
  </w:num>
  <w:num w:numId="4" w16cid:durableId="311838150">
    <w:abstractNumId w:val="19"/>
  </w:num>
  <w:num w:numId="5" w16cid:durableId="1914048808">
    <w:abstractNumId w:val="20"/>
  </w:num>
  <w:num w:numId="6" w16cid:durableId="484711197">
    <w:abstractNumId w:val="2"/>
  </w:num>
  <w:num w:numId="7" w16cid:durableId="505901895">
    <w:abstractNumId w:val="0"/>
  </w:num>
  <w:num w:numId="8" w16cid:durableId="1379091040">
    <w:abstractNumId w:val="8"/>
  </w:num>
  <w:num w:numId="9" w16cid:durableId="229582479">
    <w:abstractNumId w:val="21"/>
  </w:num>
  <w:num w:numId="10" w16cid:durableId="1698314317">
    <w:abstractNumId w:val="12"/>
  </w:num>
  <w:num w:numId="11" w16cid:durableId="817725215">
    <w:abstractNumId w:val="7"/>
  </w:num>
  <w:num w:numId="12" w16cid:durableId="1700008322">
    <w:abstractNumId w:val="22"/>
  </w:num>
  <w:num w:numId="13" w16cid:durableId="1738359966">
    <w:abstractNumId w:val="6"/>
  </w:num>
  <w:num w:numId="14" w16cid:durableId="595403042">
    <w:abstractNumId w:val="23"/>
  </w:num>
  <w:num w:numId="15" w16cid:durableId="1411535798">
    <w:abstractNumId w:val="15"/>
  </w:num>
  <w:num w:numId="16" w16cid:durableId="1161626513">
    <w:abstractNumId w:val="25"/>
  </w:num>
  <w:num w:numId="17" w16cid:durableId="1222056893">
    <w:abstractNumId w:val="16"/>
  </w:num>
  <w:num w:numId="18" w16cid:durableId="1068040380">
    <w:abstractNumId w:val="18"/>
  </w:num>
  <w:num w:numId="19" w16cid:durableId="52244768">
    <w:abstractNumId w:val="17"/>
  </w:num>
  <w:num w:numId="20" w16cid:durableId="1923951407">
    <w:abstractNumId w:val="26"/>
  </w:num>
  <w:num w:numId="21" w16cid:durableId="553202262">
    <w:abstractNumId w:val="24"/>
  </w:num>
  <w:num w:numId="22" w16cid:durableId="1324121857">
    <w:abstractNumId w:val="10"/>
  </w:num>
  <w:num w:numId="23" w16cid:durableId="706872548">
    <w:abstractNumId w:val="14"/>
  </w:num>
  <w:num w:numId="24" w16cid:durableId="1125999426">
    <w:abstractNumId w:val="11"/>
  </w:num>
  <w:num w:numId="25" w16cid:durableId="1607612484">
    <w:abstractNumId w:val="13"/>
  </w:num>
  <w:num w:numId="26" w16cid:durableId="534774396">
    <w:abstractNumId w:val="1"/>
  </w:num>
  <w:num w:numId="27" w16cid:durableId="1594825523">
    <w:abstractNumId w:val="5"/>
  </w:num>
  <w:num w:numId="28" w16cid:durableId="1171943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25"/>
    <w:rsid w:val="00047B62"/>
    <w:rsid w:val="000F58CF"/>
    <w:rsid w:val="00193BFB"/>
    <w:rsid w:val="001D2B81"/>
    <w:rsid w:val="00294EF0"/>
    <w:rsid w:val="002E2122"/>
    <w:rsid w:val="003043A4"/>
    <w:rsid w:val="00373AAD"/>
    <w:rsid w:val="003A5698"/>
    <w:rsid w:val="003F755A"/>
    <w:rsid w:val="004E022C"/>
    <w:rsid w:val="005A7E01"/>
    <w:rsid w:val="00672E88"/>
    <w:rsid w:val="006E247E"/>
    <w:rsid w:val="006E6B2D"/>
    <w:rsid w:val="00745ABC"/>
    <w:rsid w:val="00772147"/>
    <w:rsid w:val="007765EB"/>
    <w:rsid w:val="007B60C4"/>
    <w:rsid w:val="00812EA7"/>
    <w:rsid w:val="00840425"/>
    <w:rsid w:val="00861502"/>
    <w:rsid w:val="0087305E"/>
    <w:rsid w:val="009E089E"/>
    <w:rsid w:val="00A15CAC"/>
    <w:rsid w:val="00AF3E7D"/>
    <w:rsid w:val="00B84808"/>
    <w:rsid w:val="00D4458B"/>
    <w:rsid w:val="00DA4822"/>
    <w:rsid w:val="00DC4D84"/>
    <w:rsid w:val="00DE334B"/>
    <w:rsid w:val="00DF1A26"/>
    <w:rsid w:val="00E22669"/>
    <w:rsid w:val="00E72D25"/>
    <w:rsid w:val="00F30E37"/>
    <w:rsid w:val="00F347A5"/>
    <w:rsid w:val="00F4640E"/>
    <w:rsid w:val="00F80592"/>
    <w:rsid w:val="00F8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9F1D"/>
  <w15:chartTrackingRefBased/>
  <w15:docId w15:val="{2952BEAC-3603-434E-BB80-98F920894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D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5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3</Pages>
  <Words>694</Words>
  <Characters>4267</Characters>
  <Application>Microsoft Office Word</Application>
  <DocSecurity>0</DocSecurity>
  <Lines>109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Fan</dc:creator>
  <cp:keywords/>
  <dc:description/>
  <cp:lastModifiedBy>Ken Fan</cp:lastModifiedBy>
  <cp:revision>8</cp:revision>
  <dcterms:created xsi:type="dcterms:W3CDTF">2026-01-18T09:50:00Z</dcterms:created>
  <dcterms:modified xsi:type="dcterms:W3CDTF">2026-01-19T11:27:00Z</dcterms:modified>
</cp:coreProperties>
</file>