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6D94" w14:textId="77777777" w:rsidR="00CE3BB7" w:rsidRPr="00AA5E36" w:rsidRDefault="00CE3BB7" w:rsidP="00CE3BB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A5E36">
        <w:rPr>
          <w:rFonts w:ascii="Arial" w:hAnsi="Arial" w:cs="Arial"/>
          <w:b/>
          <w:bCs/>
          <w:sz w:val="32"/>
          <w:szCs w:val="32"/>
        </w:rPr>
        <w:t>Review of the Value</w:t>
      </w:r>
      <w:r w:rsidRPr="00AA5E36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AA5E36">
        <w:rPr>
          <w:rFonts w:ascii="Arial" w:hAnsi="Arial" w:cs="Arial"/>
          <w:b/>
          <w:bCs/>
          <w:sz w:val="32"/>
          <w:szCs w:val="32"/>
        </w:rPr>
        <w:t>Based Contracting (VBC) Guideline</w:t>
      </w:r>
    </w:p>
    <w:p w14:paraId="31C9DE2E" w14:textId="77777777" w:rsidR="00CE3BB7" w:rsidRPr="00AA5E36" w:rsidRDefault="00CE3BB7" w:rsidP="00CE3BB7">
      <w:pPr>
        <w:jc w:val="both"/>
        <w:rPr>
          <w:rFonts w:ascii="Arial" w:hAnsi="Arial" w:cs="Arial"/>
          <w:sz w:val="22"/>
          <w:szCs w:val="22"/>
        </w:rPr>
      </w:pPr>
      <w:r w:rsidRPr="00AA5E36">
        <w:rPr>
          <w:rFonts w:ascii="Arial" w:hAnsi="Arial" w:cs="Arial"/>
          <w:sz w:val="22"/>
          <w:szCs w:val="22"/>
        </w:rPr>
        <w:t>The VBC Guideline is a strong and well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designed document that aligns with international best practices and supports CHI’s broader transition toward Value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Based Health Care. As with any first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edition framework, there are several areas where additional clarity or operational detail would help ensure smooth implementation, reduce ambiguity, and support consistent adoption across the market.</w:t>
      </w:r>
    </w:p>
    <w:p w14:paraId="06995064" w14:textId="644E4DC2" w:rsidR="00BE6C5E" w:rsidRPr="00AA5E36" w:rsidRDefault="00CE3BB7" w:rsidP="00CE3BB7">
      <w:pPr>
        <w:jc w:val="both"/>
        <w:rPr>
          <w:rFonts w:ascii="Arial" w:hAnsi="Arial" w:cs="Arial"/>
          <w:sz w:val="22"/>
          <w:szCs w:val="22"/>
        </w:rPr>
      </w:pPr>
      <w:r w:rsidRPr="00AA5E36">
        <w:rPr>
          <w:rFonts w:ascii="Arial" w:hAnsi="Arial" w:cs="Arial"/>
          <w:sz w:val="22"/>
          <w:szCs w:val="22"/>
        </w:rPr>
        <w:t xml:space="preserve">The following observations highlight opportunities to strengthen the </w:t>
      </w:r>
      <w:r w:rsidR="00AA5E36" w:rsidRPr="00AA5E36">
        <w:rPr>
          <w:rFonts w:ascii="Arial" w:hAnsi="Arial" w:cs="Arial"/>
          <w:sz w:val="22"/>
          <w:szCs w:val="22"/>
        </w:rPr>
        <w:t>guidelines</w:t>
      </w:r>
      <w:r w:rsidRPr="00AA5E36">
        <w:rPr>
          <w:rFonts w:ascii="Arial" w:hAnsi="Arial" w:cs="Arial"/>
          <w:sz w:val="22"/>
          <w:szCs w:val="22"/>
        </w:rPr>
        <w:t>, along with the potential risks if left unaddressed and practical recommendations to enhance clarity and usability.</w:t>
      </w:r>
    </w:p>
    <w:p w14:paraId="3D120569" w14:textId="77777777" w:rsidR="00AA5E36" w:rsidRPr="00AA5E36" w:rsidRDefault="00AA5E36" w:rsidP="00CE3BB7">
      <w:pPr>
        <w:jc w:val="both"/>
        <w:rPr>
          <w:rFonts w:ascii="Arial" w:hAnsi="Arial" w:cs="Arial"/>
          <w:sz w:val="22"/>
          <w:szCs w:val="22"/>
        </w:rPr>
      </w:pPr>
    </w:p>
    <w:p w14:paraId="02087F23" w14:textId="23C4AB7C" w:rsidR="00AA5E36" w:rsidRPr="00AA5E36" w:rsidRDefault="00AA5E36" w:rsidP="00CE3BB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A5E36">
        <w:rPr>
          <w:rFonts w:ascii="Arial" w:hAnsi="Arial" w:cs="Arial"/>
          <w:b/>
          <w:bCs/>
          <w:sz w:val="28"/>
          <w:szCs w:val="28"/>
        </w:rPr>
        <w:t>Summary of Observations, Risks, and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32C92" w:rsidRPr="00AA5E36" w14:paraId="7B9B64CA" w14:textId="77777777" w:rsidTr="00B32C92">
        <w:trPr>
          <w:trHeight w:val="413"/>
        </w:trPr>
        <w:tc>
          <w:tcPr>
            <w:tcW w:w="3116" w:type="dxa"/>
          </w:tcPr>
          <w:p w14:paraId="778C49BA" w14:textId="10F76B89" w:rsidR="00B32C92" w:rsidRPr="00AA5E36" w:rsidRDefault="00B32C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A5E36">
              <w:rPr>
                <w:rFonts w:ascii="Arial" w:hAnsi="Arial" w:cs="Arial"/>
                <w:b/>
                <w:bCs/>
                <w:sz w:val="22"/>
                <w:szCs w:val="22"/>
              </w:rPr>
              <w:t>Observation</w:t>
            </w:r>
          </w:p>
        </w:tc>
        <w:tc>
          <w:tcPr>
            <w:tcW w:w="3117" w:type="dxa"/>
          </w:tcPr>
          <w:p w14:paraId="5BF569F1" w14:textId="56EC6CEA" w:rsidR="00B32C92" w:rsidRPr="00AA5E36" w:rsidRDefault="00B32C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A5E36">
              <w:rPr>
                <w:rFonts w:ascii="Arial" w:hAnsi="Arial" w:cs="Arial"/>
                <w:b/>
                <w:bCs/>
                <w:sz w:val="22"/>
                <w:szCs w:val="22"/>
              </w:rPr>
              <w:t>Potential risk</w:t>
            </w:r>
          </w:p>
        </w:tc>
        <w:tc>
          <w:tcPr>
            <w:tcW w:w="3117" w:type="dxa"/>
          </w:tcPr>
          <w:p w14:paraId="70EE28AD" w14:textId="1502A5AB" w:rsidR="00B32C92" w:rsidRPr="00AA5E36" w:rsidRDefault="00B32C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A5E36">
              <w:rPr>
                <w:rFonts w:ascii="Arial" w:hAnsi="Arial" w:cs="Arial"/>
                <w:b/>
                <w:bCs/>
                <w:sz w:val="22"/>
                <w:szCs w:val="22"/>
              </w:rPr>
              <w:t>Recommendation</w:t>
            </w:r>
          </w:p>
        </w:tc>
      </w:tr>
      <w:tr w:rsidR="00B32C92" w:rsidRPr="00AA5E36" w14:paraId="4CFF9489" w14:textId="77777777" w:rsidTr="00BE6C5E">
        <w:trPr>
          <w:trHeight w:val="3230"/>
        </w:trPr>
        <w:tc>
          <w:tcPr>
            <w:tcW w:w="3116" w:type="dxa"/>
          </w:tcPr>
          <w:p w14:paraId="1376819C" w14:textId="10232F2E" w:rsidR="00B32C92" w:rsidRPr="00AA5E36" w:rsidRDefault="009A4976" w:rsidP="009A4976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distinction between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bundled payments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value</w:t>
            </w:r>
            <w:r w:rsidRPr="00297ACF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‑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based contracting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is not fully explicit. The guideline does not clearly outline when a bundle is simply a reimbursement mechanism versus a full VBC arrangement, nor how stakeholders should transition between these stages.</w:t>
            </w:r>
          </w:p>
        </w:tc>
        <w:tc>
          <w:tcPr>
            <w:tcW w:w="3117" w:type="dxa"/>
          </w:tcPr>
          <w:p w14:paraId="44570AA0" w14:textId="0EE2A34F" w:rsidR="00B32C92" w:rsidRPr="00AA5E36" w:rsidRDefault="009A4976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Providers may assume that any bundle qualifies as a VBC contract, or that outcome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linked incentives are optional.</w:t>
            </w:r>
          </w:p>
        </w:tc>
        <w:tc>
          <w:tcPr>
            <w:tcW w:w="3117" w:type="dxa"/>
          </w:tcPr>
          <w:p w14:paraId="5A3F6481" w14:textId="48F0B40B" w:rsidR="00B32C92" w:rsidRPr="00AA5E36" w:rsidRDefault="009A4976" w:rsidP="009A4976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Add a simple classification framework showing the progression from: reimbursement bundle → bundle with quality gates → bundle with outcome incentives (VBC) → two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sided risk (advanced VBC).</w:t>
            </w:r>
          </w:p>
        </w:tc>
      </w:tr>
      <w:tr w:rsidR="00B32C92" w:rsidRPr="00AA5E36" w14:paraId="048CA9A0" w14:textId="77777777" w:rsidTr="00AA0167">
        <w:trPr>
          <w:trHeight w:val="1673"/>
        </w:trPr>
        <w:tc>
          <w:tcPr>
            <w:tcW w:w="3116" w:type="dxa"/>
          </w:tcPr>
          <w:p w14:paraId="03F22649" w14:textId="07D06CDC" w:rsidR="00B32C92" w:rsidRPr="00AA5E36" w:rsidRDefault="001C6D95" w:rsidP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risk adjustment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section lacks detail on preferred variables, acceptable models, outlier handling, and safeguards against risk selection.</w:t>
            </w:r>
          </w:p>
        </w:tc>
        <w:tc>
          <w:tcPr>
            <w:tcW w:w="3117" w:type="dxa"/>
          </w:tcPr>
          <w:p w14:paraId="7BB3822D" w14:textId="2FF43166" w:rsidR="00B32C92" w:rsidRPr="00AA5E36" w:rsidRDefault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Inconsistent or opaque risk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adjustment methods may lead to disputes and undermine fairness</w:t>
            </w:r>
            <w:r w:rsidR="00B32C92" w:rsidRPr="00AA5E3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7" w:type="dxa"/>
          </w:tcPr>
          <w:p w14:paraId="3095F960" w14:textId="68F26909" w:rsidR="00B32C92" w:rsidRPr="00AA5E36" w:rsidRDefault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 a minimum standard or reference model (e.g., DRG severity levels, comorbidity indices, demographic factors).</w:t>
            </w:r>
          </w:p>
        </w:tc>
      </w:tr>
      <w:tr w:rsidR="00B32C92" w:rsidRPr="00AA5E36" w14:paraId="61372A3F" w14:textId="77777777" w:rsidTr="001C6D95">
        <w:trPr>
          <w:trHeight w:val="2240"/>
        </w:trPr>
        <w:tc>
          <w:tcPr>
            <w:tcW w:w="3116" w:type="dxa"/>
          </w:tcPr>
          <w:p w14:paraId="2354191F" w14:textId="2CFD2941" w:rsidR="00B32C92" w:rsidRPr="00AA5E36" w:rsidRDefault="001C6D95" w:rsidP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guideline introduces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MSR, MLR, risk corridors, and stop</w:t>
            </w:r>
            <w:r w:rsidRPr="00297ACF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‑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loss</w:t>
            </w:r>
            <w:r w:rsidRPr="00AA5E36">
              <w:rPr>
                <w:rFonts w:ascii="Arial" w:hAnsi="Arial" w:cs="Arial"/>
                <w:sz w:val="22"/>
                <w:szCs w:val="22"/>
              </w:rPr>
              <w:t>, but does not explain how benchmarks or MSR values should be calculated or updated.</w:t>
            </w:r>
          </w:p>
        </w:tc>
        <w:tc>
          <w:tcPr>
            <w:tcW w:w="3117" w:type="dxa"/>
          </w:tcPr>
          <w:p w14:paraId="6C54845D" w14:textId="02092FD5" w:rsidR="00B32C92" w:rsidRPr="00AA5E36" w:rsidRDefault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Benchmarking disagreements are likely, which may slow adoption or create contractual disputes.</w:t>
            </w:r>
          </w:p>
        </w:tc>
        <w:tc>
          <w:tcPr>
            <w:tcW w:w="3117" w:type="dxa"/>
          </w:tcPr>
          <w:p w14:paraId="0166D648" w14:textId="388A6FC6" w:rsidR="00B32C92" w:rsidRPr="00AA5E36" w:rsidRDefault="001C6D95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Include an annex outlining benchmark methodologies and CHI’s preferred approach.</w:t>
            </w:r>
          </w:p>
        </w:tc>
      </w:tr>
      <w:tr w:rsidR="00B32C92" w:rsidRPr="00AA5E36" w14:paraId="12FC47A0" w14:textId="77777777" w:rsidTr="00AA0167">
        <w:trPr>
          <w:trHeight w:val="1970"/>
        </w:trPr>
        <w:tc>
          <w:tcPr>
            <w:tcW w:w="3116" w:type="dxa"/>
          </w:tcPr>
          <w:p w14:paraId="1C5CA588" w14:textId="60C682A6" w:rsidR="00B32C92" w:rsidRPr="00AA5E36" w:rsidRDefault="00AA0167" w:rsidP="00AA0167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PROMs</w:t>
            </w:r>
            <w:proofErr w:type="gramEnd"/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/PREMs requirements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are ambitious, but the guideline does not specify approved tools, platforms, validation methods, or safeguards against gaming.</w:t>
            </w:r>
          </w:p>
        </w:tc>
        <w:tc>
          <w:tcPr>
            <w:tcW w:w="3117" w:type="dxa"/>
          </w:tcPr>
          <w:p w14:paraId="29470DE7" w14:textId="5EC249F4" w:rsidR="00B32C9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Providers may struggle to meet thresholds or use inconsistent tools, affecting comparability.</w:t>
            </w:r>
          </w:p>
        </w:tc>
        <w:tc>
          <w:tcPr>
            <w:tcW w:w="3117" w:type="dxa"/>
          </w:tcPr>
          <w:p w14:paraId="25ED12F0" w14:textId="29D579CC" w:rsidR="00B32C9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Publish a CHI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approved PROMs/PREMs library and data submission standard.</w:t>
            </w:r>
          </w:p>
        </w:tc>
      </w:tr>
      <w:tr w:rsidR="00B32C92" w:rsidRPr="00AA5E36" w14:paraId="00A64B97" w14:textId="77777777" w:rsidTr="00AA0167">
        <w:trPr>
          <w:trHeight w:val="1970"/>
        </w:trPr>
        <w:tc>
          <w:tcPr>
            <w:tcW w:w="3116" w:type="dxa"/>
          </w:tcPr>
          <w:p w14:paraId="73546EB5" w14:textId="2372B2AE" w:rsidR="00B32C92" w:rsidRPr="00AA5E36" w:rsidRDefault="00AA0167" w:rsidP="00AA0167">
            <w:pPr>
              <w:rPr>
                <w:rFonts w:ascii="Arial" w:hAnsi="Arial" w:cs="Arial"/>
                <w:sz w:val="22"/>
                <w:szCs w:val="22"/>
              </w:rPr>
            </w:pP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Episode definitions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are not standardized across the seven CHI bundles. Key elements such as start/end points, inclusions/exclusions, and readmission rules are not provided.</w:t>
            </w:r>
          </w:p>
        </w:tc>
        <w:tc>
          <w:tcPr>
            <w:tcW w:w="3117" w:type="dxa"/>
          </w:tcPr>
          <w:p w14:paraId="09280EB1" w14:textId="35C87F69" w:rsidR="00B32C9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Payers may define episodes differently, reducing comparability and increasing disputes.</w:t>
            </w:r>
          </w:p>
        </w:tc>
        <w:tc>
          <w:tcPr>
            <w:tcW w:w="3117" w:type="dxa"/>
          </w:tcPr>
          <w:p w14:paraId="60C8565E" w14:textId="118C6CA0" w:rsidR="00B32C9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Include standardized episode definitions for all seven bundles in an annex.</w:t>
            </w:r>
          </w:p>
        </w:tc>
      </w:tr>
      <w:tr w:rsidR="003733B2" w:rsidRPr="00AA5E36" w14:paraId="1AAF540F" w14:textId="77777777" w:rsidTr="003733B2">
        <w:trPr>
          <w:trHeight w:val="1970"/>
        </w:trPr>
        <w:tc>
          <w:tcPr>
            <w:tcW w:w="3116" w:type="dxa"/>
          </w:tcPr>
          <w:p w14:paraId="6043C20E" w14:textId="43833B96" w:rsidR="003733B2" w:rsidRPr="00AA5E36" w:rsidRDefault="00AA0167" w:rsidP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guideline does not explicitly reference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AR</w:t>
            </w:r>
            <w:r w:rsidRPr="00297ACF"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‑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DRG, SBS, MDS, or DRG severity levels</w:t>
            </w:r>
            <w:r w:rsidRPr="00AA5E36">
              <w:rPr>
                <w:rFonts w:ascii="Arial" w:hAnsi="Arial" w:cs="Arial"/>
                <w:sz w:val="22"/>
                <w:szCs w:val="22"/>
              </w:rPr>
              <w:t>, despite their importance for costing, risk adjustment, and benchmarking.</w:t>
            </w:r>
          </w:p>
        </w:tc>
        <w:tc>
          <w:tcPr>
            <w:tcW w:w="3117" w:type="dxa"/>
          </w:tcPr>
          <w:p w14:paraId="22787A90" w14:textId="34D6CFDF" w:rsidR="003733B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Stakeholders may perceive VBC as disconnected from DRG reforms, even though they are interdependent.</w:t>
            </w:r>
          </w:p>
        </w:tc>
        <w:tc>
          <w:tcPr>
            <w:tcW w:w="3117" w:type="dxa"/>
          </w:tcPr>
          <w:p w14:paraId="0302BA3C" w14:textId="459AC160" w:rsidR="003733B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Add a section explaining how DRGs support bundle pricing, risk adjustment, and performance measurement.</w:t>
            </w:r>
          </w:p>
        </w:tc>
      </w:tr>
      <w:tr w:rsidR="003733B2" w:rsidRPr="00AA5E36" w14:paraId="1468D3F0" w14:textId="77777777" w:rsidTr="00AA0167">
        <w:trPr>
          <w:trHeight w:val="1880"/>
        </w:trPr>
        <w:tc>
          <w:tcPr>
            <w:tcW w:w="3116" w:type="dxa"/>
          </w:tcPr>
          <w:p w14:paraId="53388922" w14:textId="4401218E" w:rsidR="00E473CF" w:rsidRPr="00AA5E36" w:rsidRDefault="00AA0167" w:rsidP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CHI’s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oversight and enforcement role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is not clearly defined. It is unclear how CHI will intervene if VBC principles are not followed or whether CHI will audit or approve contracts.</w:t>
            </w:r>
          </w:p>
        </w:tc>
        <w:tc>
          <w:tcPr>
            <w:tcW w:w="3117" w:type="dxa"/>
          </w:tcPr>
          <w:p w14:paraId="3AF1CB59" w14:textId="4CE58C28" w:rsidR="003733B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Ambiguity may lead to inconsistent implementation or misuse of VBC terminology.</w:t>
            </w:r>
          </w:p>
        </w:tc>
        <w:tc>
          <w:tcPr>
            <w:tcW w:w="3117" w:type="dxa"/>
          </w:tcPr>
          <w:p w14:paraId="6912E1AF" w14:textId="73736FDB" w:rsidR="003733B2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Clarify CHI’s oversight mechanisms, approval processes, and escalation pathways.</w:t>
            </w:r>
          </w:p>
        </w:tc>
      </w:tr>
      <w:tr w:rsidR="00E473CF" w:rsidRPr="00AA5E36" w14:paraId="51A0A568" w14:textId="77777777" w:rsidTr="00AA0167">
        <w:trPr>
          <w:trHeight w:val="1700"/>
        </w:trPr>
        <w:tc>
          <w:tcPr>
            <w:tcW w:w="3116" w:type="dxa"/>
          </w:tcPr>
          <w:p w14:paraId="4678CDEF" w14:textId="1D0CCBEC" w:rsidR="00E473CF" w:rsidRPr="00AA5E36" w:rsidRDefault="00AA0167" w:rsidP="00E473CF">
            <w:pPr>
              <w:rPr>
                <w:rFonts w:ascii="Arial" w:hAnsi="Arial" w:cs="Arial"/>
                <w:sz w:val="22"/>
                <w:szCs w:val="22"/>
              </w:rPr>
            </w:pP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Data completeness thresholds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(85% outcomes, 70% PROMs, 100% on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time settlement) may be challenging for early adopters.</w:t>
            </w:r>
          </w:p>
        </w:tc>
        <w:tc>
          <w:tcPr>
            <w:tcW w:w="3117" w:type="dxa"/>
          </w:tcPr>
          <w:p w14:paraId="23813413" w14:textId="0EE2C01F" w:rsidR="00E473CF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Providers may struggle to progress from Phase 1 to Phase 2, slowing market adoption.</w:t>
            </w:r>
          </w:p>
        </w:tc>
        <w:tc>
          <w:tcPr>
            <w:tcW w:w="3117" w:type="dxa"/>
          </w:tcPr>
          <w:p w14:paraId="2EB7861C" w14:textId="7F776BEE" w:rsidR="00E473CF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Introduce a phased or grace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period approach to thresholds.</w:t>
            </w:r>
          </w:p>
        </w:tc>
      </w:tr>
      <w:tr w:rsidR="00E473CF" w:rsidRPr="00AA5E36" w14:paraId="5A7C05BF" w14:textId="77777777" w:rsidTr="00AA0167">
        <w:trPr>
          <w:trHeight w:val="2240"/>
        </w:trPr>
        <w:tc>
          <w:tcPr>
            <w:tcW w:w="3116" w:type="dxa"/>
          </w:tcPr>
          <w:p w14:paraId="1AF65A54" w14:textId="55AC7EA4" w:rsidR="00E473CF" w:rsidRPr="00AA5E36" w:rsidRDefault="00AA0167" w:rsidP="00E473CF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guideline assumes providers have mature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VBC governance, analytics capability, care pathways, and coding accuracy</w:t>
            </w:r>
            <w:r w:rsidRPr="00AA5E36">
              <w:rPr>
                <w:rFonts w:ascii="Arial" w:hAnsi="Arial" w:cs="Arial"/>
                <w:sz w:val="22"/>
                <w:szCs w:val="22"/>
              </w:rPr>
              <w:t>, which may not be the case for smaller hospitals.</w:t>
            </w:r>
          </w:p>
        </w:tc>
        <w:tc>
          <w:tcPr>
            <w:tcW w:w="3117" w:type="dxa"/>
          </w:tcPr>
          <w:p w14:paraId="77F4104B" w14:textId="5B3B5038" w:rsidR="00E473CF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VBC adoption may become concentrated among large tertiary providers.</w:t>
            </w:r>
          </w:p>
        </w:tc>
        <w:tc>
          <w:tcPr>
            <w:tcW w:w="3117" w:type="dxa"/>
          </w:tcPr>
          <w:p w14:paraId="69220DE5" w14:textId="6CB9A5A6" w:rsidR="00E473CF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Introduce a tiered readiness model (basic, intermediate, advanced).</w:t>
            </w:r>
          </w:p>
        </w:tc>
      </w:tr>
      <w:tr w:rsidR="004A0DB7" w:rsidRPr="00AA5E36" w14:paraId="7B42410F" w14:textId="77777777" w:rsidTr="00AA0167">
        <w:trPr>
          <w:trHeight w:val="1700"/>
        </w:trPr>
        <w:tc>
          <w:tcPr>
            <w:tcW w:w="3116" w:type="dxa"/>
          </w:tcPr>
          <w:p w14:paraId="017A2BD5" w14:textId="47B7A897" w:rsidR="004A0DB7" w:rsidRPr="00AA5E36" w:rsidRDefault="00AA0167" w:rsidP="004A0DB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lastRenderedPageBreak/>
              <w:t>The contracting requirements (benchmarking, risk adjustment, MSR/MLR, reconciliation rules) may be complex for smaller payers and TPAs.</w:t>
            </w:r>
          </w:p>
        </w:tc>
        <w:tc>
          <w:tcPr>
            <w:tcW w:w="3117" w:type="dxa"/>
          </w:tcPr>
          <w:p w14:paraId="46F02F9E" w14:textId="390ED33C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Uneven implementation and increased disputes.</w:t>
            </w:r>
          </w:p>
        </w:tc>
        <w:tc>
          <w:tcPr>
            <w:tcW w:w="3117" w:type="dxa"/>
          </w:tcPr>
          <w:p w14:paraId="075FA4CF" w14:textId="7E88202A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 CHI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issued templates, calculators, and reference benchmarks.</w:t>
            </w:r>
          </w:p>
        </w:tc>
      </w:tr>
      <w:tr w:rsidR="004A0DB7" w:rsidRPr="00AA5E36" w14:paraId="7D5286A1" w14:textId="77777777" w:rsidTr="00AA0167">
        <w:trPr>
          <w:trHeight w:val="890"/>
        </w:trPr>
        <w:tc>
          <w:tcPr>
            <w:tcW w:w="3116" w:type="dxa"/>
          </w:tcPr>
          <w:p w14:paraId="37C6CE91" w14:textId="569DF666" w:rsidR="004A0DB7" w:rsidRPr="00AA5E36" w:rsidRDefault="00AA0167" w:rsidP="004A0DB7">
            <w:pPr>
              <w:rPr>
                <w:rFonts w:ascii="Arial" w:hAnsi="Arial" w:cs="Arial"/>
                <w:sz w:val="22"/>
                <w:szCs w:val="22"/>
              </w:rPr>
            </w:pP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Dispute resolution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mechanisms are not defined</w:t>
            </w:r>
          </w:p>
        </w:tc>
        <w:tc>
          <w:tcPr>
            <w:tcW w:w="3117" w:type="dxa"/>
          </w:tcPr>
          <w:p w14:paraId="60EF5CBA" w14:textId="118EFE9F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Contract disputes may escalate or remain unresolved.</w:t>
            </w:r>
          </w:p>
        </w:tc>
        <w:tc>
          <w:tcPr>
            <w:tcW w:w="3117" w:type="dxa"/>
          </w:tcPr>
          <w:p w14:paraId="59C5336B" w14:textId="1D50B388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Add a standard dispute resolution clause in the annex.</w:t>
            </w:r>
          </w:p>
        </w:tc>
      </w:tr>
      <w:tr w:rsidR="004A0DB7" w:rsidRPr="00AA5E36" w14:paraId="5590005B" w14:textId="77777777" w:rsidTr="00AA0167">
        <w:trPr>
          <w:trHeight w:val="1160"/>
        </w:trPr>
        <w:tc>
          <w:tcPr>
            <w:tcW w:w="3116" w:type="dxa"/>
          </w:tcPr>
          <w:p w14:paraId="06726629" w14:textId="49F8FC0E" w:rsidR="00BE6C5E" w:rsidRPr="00AA5E36" w:rsidRDefault="00AA0167" w:rsidP="00BE6C5E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 xml:space="preserve">The guideline does not specify how </w:t>
            </w:r>
            <w:r w:rsidRPr="00297ACF">
              <w:rPr>
                <w:rFonts w:ascii="Arial" w:hAnsi="Arial" w:cs="Arial"/>
                <w:b/>
                <w:bCs/>
                <w:sz w:val="22"/>
                <w:szCs w:val="22"/>
              </w:rPr>
              <w:t>patient protection</w:t>
            </w:r>
            <w:r w:rsidRPr="00AA5E36">
              <w:rPr>
                <w:rFonts w:ascii="Arial" w:hAnsi="Arial" w:cs="Arial"/>
                <w:sz w:val="22"/>
                <w:szCs w:val="22"/>
              </w:rPr>
              <w:t xml:space="preserve"> will be ensured in downside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risk arrangements.</w:t>
            </w:r>
          </w:p>
        </w:tc>
        <w:tc>
          <w:tcPr>
            <w:tcW w:w="3117" w:type="dxa"/>
          </w:tcPr>
          <w:p w14:paraId="6DC5DB94" w14:textId="19C537E1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Providers may under</w:t>
            </w:r>
            <w:r w:rsidRPr="00AA5E36">
              <w:rPr>
                <w:rFonts w:ascii="Cambria Math" w:hAnsi="Cambria Math" w:cs="Cambria Math"/>
                <w:sz w:val="22"/>
                <w:szCs w:val="22"/>
              </w:rPr>
              <w:t>‑</w:t>
            </w:r>
            <w:r w:rsidRPr="00AA5E36">
              <w:rPr>
                <w:rFonts w:ascii="Arial" w:hAnsi="Arial" w:cs="Arial"/>
                <w:sz w:val="22"/>
                <w:szCs w:val="22"/>
              </w:rPr>
              <w:t>deliver care to avoid losses.</w:t>
            </w:r>
          </w:p>
        </w:tc>
        <w:tc>
          <w:tcPr>
            <w:tcW w:w="3117" w:type="dxa"/>
          </w:tcPr>
          <w:p w14:paraId="5A85AECE" w14:textId="1CA0CD30" w:rsidR="004A0DB7" w:rsidRPr="00AA5E36" w:rsidRDefault="00AA0167">
            <w:pPr>
              <w:rPr>
                <w:rFonts w:ascii="Arial" w:hAnsi="Arial" w:cs="Arial"/>
                <w:sz w:val="22"/>
                <w:szCs w:val="22"/>
              </w:rPr>
            </w:pPr>
            <w:r w:rsidRPr="00AA5E36">
              <w:rPr>
                <w:rFonts w:ascii="Arial" w:hAnsi="Arial" w:cs="Arial"/>
                <w:sz w:val="22"/>
                <w:szCs w:val="22"/>
              </w:rPr>
              <w:t>Add mandatory quality gates, safety thresholds, and monitoring triggers.</w:t>
            </w:r>
          </w:p>
        </w:tc>
      </w:tr>
    </w:tbl>
    <w:p w14:paraId="759A26D8" w14:textId="77777777" w:rsidR="00B32C92" w:rsidRPr="00AA5E36" w:rsidRDefault="00B32C92">
      <w:pPr>
        <w:rPr>
          <w:rFonts w:ascii="Arial" w:hAnsi="Arial" w:cs="Arial"/>
        </w:rPr>
      </w:pPr>
    </w:p>
    <w:p w14:paraId="52939A84" w14:textId="3D64D8F9" w:rsidR="00AA0167" w:rsidRPr="00AA5E36" w:rsidRDefault="00AA0167" w:rsidP="00AA016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A5E36">
        <w:rPr>
          <w:rFonts w:ascii="Arial" w:hAnsi="Arial" w:cs="Arial"/>
          <w:b/>
          <w:bCs/>
          <w:sz w:val="28"/>
          <w:szCs w:val="28"/>
        </w:rPr>
        <w:t>Overall Summary</w:t>
      </w:r>
    </w:p>
    <w:p w14:paraId="1CDFE71C" w14:textId="0A833B71" w:rsidR="00AA0167" w:rsidRPr="00AA5E36" w:rsidRDefault="00AA0167" w:rsidP="00AA0167">
      <w:pPr>
        <w:jc w:val="both"/>
        <w:rPr>
          <w:rFonts w:ascii="Arial" w:hAnsi="Arial" w:cs="Arial"/>
          <w:sz w:val="22"/>
          <w:szCs w:val="22"/>
        </w:rPr>
      </w:pPr>
      <w:r w:rsidRPr="00AA5E36">
        <w:rPr>
          <w:rFonts w:ascii="Arial" w:hAnsi="Arial" w:cs="Arial"/>
          <w:sz w:val="22"/>
          <w:szCs w:val="22"/>
        </w:rPr>
        <w:t>The VBC Guideline provides a strong foundation for advancing value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based care in the Saudi private health insurance market. By enhancing clarity in a few key areas</w:t>
      </w:r>
      <w:r w:rsidR="00742485" w:rsidRPr="00AA5E36">
        <w:rPr>
          <w:rFonts w:ascii="Arial" w:hAnsi="Arial" w:cs="Arial"/>
          <w:sz w:val="22"/>
          <w:szCs w:val="22"/>
        </w:rPr>
        <w:t xml:space="preserve"> - </w:t>
      </w:r>
      <w:r w:rsidRPr="00AA5E36">
        <w:rPr>
          <w:rFonts w:ascii="Arial" w:hAnsi="Arial" w:cs="Arial"/>
          <w:sz w:val="22"/>
          <w:szCs w:val="22"/>
        </w:rPr>
        <w:t>particularly around risk adjustment, benchmarking, episode definitions, PROMs/PREMs, and CHI’s oversight role</w:t>
      </w:r>
      <w:r w:rsidR="00742485" w:rsidRPr="00AA5E36">
        <w:rPr>
          <w:rFonts w:ascii="Arial" w:hAnsi="Arial" w:cs="Arial"/>
          <w:sz w:val="22"/>
          <w:szCs w:val="22"/>
        </w:rPr>
        <w:t xml:space="preserve"> - </w:t>
      </w:r>
      <w:r w:rsidRPr="00AA5E36">
        <w:rPr>
          <w:rFonts w:ascii="Arial" w:hAnsi="Arial" w:cs="Arial"/>
          <w:sz w:val="22"/>
          <w:szCs w:val="22"/>
        </w:rPr>
        <w:t>the guideline can become even more robust, practical, and easier for stakeholders to adopt consistently.</w:t>
      </w:r>
    </w:p>
    <w:p w14:paraId="0B0FD484" w14:textId="54B1E70D" w:rsidR="00AA0167" w:rsidRPr="00AA5E36" w:rsidRDefault="00AA0167" w:rsidP="00AA0167">
      <w:pPr>
        <w:jc w:val="both"/>
        <w:rPr>
          <w:rFonts w:ascii="Arial" w:hAnsi="Arial" w:cs="Arial"/>
          <w:sz w:val="22"/>
          <w:szCs w:val="22"/>
        </w:rPr>
      </w:pPr>
      <w:r w:rsidRPr="00AA5E36">
        <w:rPr>
          <w:rFonts w:ascii="Arial" w:hAnsi="Arial" w:cs="Arial"/>
          <w:sz w:val="22"/>
          <w:szCs w:val="22"/>
        </w:rPr>
        <w:t>These refinements will help ensure that the transition to VBC is smooth, fair, and aligned with CHI’s long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term vision for a transparent, outcome</w:t>
      </w:r>
      <w:r w:rsidRPr="00AA5E36">
        <w:rPr>
          <w:rFonts w:ascii="Cambria Math" w:hAnsi="Cambria Math" w:cs="Cambria Math"/>
          <w:sz w:val="22"/>
          <w:szCs w:val="22"/>
        </w:rPr>
        <w:t>‑</w:t>
      </w:r>
      <w:r w:rsidRPr="00AA5E36">
        <w:rPr>
          <w:rFonts w:ascii="Arial" w:hAnsi="Arial" w:cs="Arial"/>
          <w:sz w:val="22"/>
          <w:szCs w:val="22"/>
        </w:rPr>
        <w:t>driven, and sustainable health system.</w:t>
      </w:r>
    </w:p>
    <w:sectPr w:rsidR="00AA0167" w:rsidRPr="00AA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9CE"/>
    <w:multiLevelType w:val="hybridMultilevel"/>
    <w:tmpl w:val="AE768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D5D4A"/>
    <w:multiLevelType w:val="hybridMultilevel"/>
    <w:tmpl w:val="396A1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AE600B"/>
    <w:multiLevelType w:val="hybridMultilevel"/>
    <w:tmpl w:val="AA2CE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26217"/>
    <w:multiLevelType w:val="hybridMultilevel"/>
    <w:tmpl w:val="B8ECC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4D6D1E"/>
    <w:multiLevelType w:val="hybridMultilevel"/>
    <w:tmpl w:val="C93A3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752765"/>
    <w:multiLevelType w:val="hybridMultilevel"/>
    <w:tmpl w:val="05029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6A0976"/>
    <w:multiLevelType w:val="hybridMultilevel"/>
    <w:tmpl w:val="51464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8822B6"/>
    <w:multiLevelType w:val="hybridMultilevel"/>
    <w:tmpl w:val="9A88F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225E22"/>
    <w:multiLevelType w:val="hybridMultilevel"/>
    <w:tmpl w:val="25882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430F1C"/>
    <w:multiLevelType w:val="hybridMultilevel"/>
    <w:tmpl w:val="D05C0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EC3DE2"/>
    <w:multiLevelType w:val="hybridMultilevel"/>
    <w:tmpl w:val="B232C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3215C1"/>
    <w:multiLevelType w:val="hybridMultilevel"/>
    <w:tmpl w:val="6DC6D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E30A2F"/>
    <w:multiLevelType w:val="hybridMultilevel"/>
    <w:tmpl w:val="98603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EE24DFE"/>
    <w:multiLevelType w:val="hybridMultilevel"/>
    <w:tmpl w:val="A3907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CF54C2"/>
    <w:multiLevelType w:val="hybridMultilevel"/>
    <w:tmpl w:val="A30C7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F1727E"/>
    <w:multiLevelType w:val="hybridMultilevel"/>
    <w:tmpl w:val="298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EB03BD"/>
    <w:multiLevelType w:val="hybridMultilevel"/>
    <w:tmpl w:val="42366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295836">
    <w:abstractNumId w:val="9"/>
  </w:num>
  <w:num w:numId="2" w16cid:durableId="76369262">
    <w:abstractNumId w:val="10"/>
  </w:num>
  <w:num w:numId="3" w16cid:durableId="161819821">
    <w:abstractNumId w:val="4"/>
  </w:num>
  <w:num w:numId="4" w16cid:durableId="2046321976">
    <w:abstractNumId w:val="13"/>
  </w:num>
  <w:num w:numId="5" w16cid:durableId="1180124067">
    <w:abstractNumId w:val="2"/>
  </w:num>
  <w:num w:numId="6" w16cid:durableId="1723092582">
    <w:abstractNumId w:val="12"/>
  </w:num>
  <w:num w:numId="7" w16cid:durableId="1307927840">
    <w:abstractNumId w:val="8"/>
  </w:num>
  <w:num w:numId="8" w16cid:durableId="1667629248">
    <w:abstractNumId w:val="16"/>
  </w:num>
  <w:num w:numId="9" w16cid:durableId="1101411632">
    <w:abstractNumId w:val="5"/>
  </w:num>
  <w:num w:numId="10" w16cid:durableId="489181044">
    <w:abstractNumId w:val="11"/>
  </w:num>
  <w:num w:numId="11" w16cid:durableId="529343774">
    <w:abstractNumId w:val="6"/>
  </w:num>
  <w:num w:numId="12" w16cid:durableId="1633098310">
    <w:abstractNumId w:val="7"/>
  </w:num>
  <w:num w:numId="13" w16cid:durableId="1121024820">
    <w:abstractNumId w:val="14"/>
  </w:num>
  <w:num w:numId="14" w16cid:durableId="1242256883">
    <w:abstractNumId w:val="3"/>
  </w:num>
  <w:num w:numId="15" w16cid:durableId="664208246">
    <w:abstractNumId w:val="0"/>
  </w:num>
  <w:num w:numId="16" w16cid:durableId="815537580">
    <w:abstractNumId w:val="1"/>
  </w:num>
  <w:num w:numId="17" w16cid:durableId="6127908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92"/>
    <w:rsid w:val="001C6D95"/>
    <w:rsid w:val="00265DB9"/>
    <w:rsid w:val="00297ACF"/>
    <w:rsid w:val="002E2122"/>
    <w:rsid w:val="003733B2"/>
    <w:rsid w:val="003C7A9E"/>
    <w:rsid w:val="004A0DB7"/>
    <w:rsid w:val="004D4500"/>
    <w:rsid w:val="005A7E01"/>
    <w:rsid w:val="00672E88"/>
    <w:rsid w:val="006E247E"/>
    <w:rsid w:val="00737B76"/>
    <w:rsid w:val="00742485"/>
    <w:rsid w:val="007B60C4"/>
    <w:rsid w:val="0087305E"/>
    <w:rsid w:val="0089799F"/>
    <w:rsid w:val="009A4976"/>
    <w:rsid w:val="00AA0167"/>
    <w:rsid w:val="00AA5E36"/>
    <w:rsid w:val="00B32C92"/>
    <w:rsid w:val="00BE6C5E"/>
    <w:rsid w:val="00CE3BB7"/>
    <w:rsid w:val="00D369D8"/>
    <w:rsid w:val="00DA4822"/>
    <w:rsid w:val="00DF1A26"/>
    <w:rsid w:val="00E22669"/>
    <w:rsid w:val="00E473CF"/>
    <w:rsid w:val="00F4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DD47"/>
  <w15:chartTrackingRefBased/>
  <w15:docId w15:val="{F25C8C8A-63AA-4522-A0FB-C8CA4A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714</Words>
  <Characters>4429</Characters>
  <Application>Microsoft Office Word</Application>
  <DocSecurity>0</DocSecurity>
  <Lines>246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Fan</dc:creator>
  <cp:keywords/>
  <dc:description/>
  <cp:lastModifiedBy>Ken Fan</cp:lastModifiedBy>
  <cp:revision>5</cp:revision>
  <dcterms:created xsi:type="dcterms:W3CDTF">2026-01-19T08:07:00Z</dcterms:created>
  <dcterms:modified xsi:type="dcterms:W3CDTF">2026-01-19T08:20:00Z</dcterms:modified>
</cp:coreProperties>
</file>