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1"/>
        <w:ind w:left="1525" w:right="1849" w:firstLine="0"/>
        <w:jc w:val="center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Project Report</w:t>
      </w:r>
    </w:p>
    <w:p>
      <w:pPr>
        <w:pStyle w:val="BodyText"/>
        <w:rPr>
          <w:sz w:val="32"/>
        </w:rPr>
      </w:pPr>
    </w:p>
    <w:p>
      <w:pPr>
        <w:pStyle w:val="BodyText"/>
        <w:ind w:left="311" w:right="633"/>
        <w:jc w:val="center"/>
      </w:pPr>
      <w:r>
        <w:rPr/>
        <w:t>On</w:t>
      </w:r>
    </w:p>
    <w:p>
      <w:pPr>
        <w:pStyle w:val="BodyText"/>
        <w:spacing w:before="5"/>
        <w:rPr>
          <w:sz w:val="31"/>
        </w:rPr>
      </w:pPr>
    </w:p>
    <w:p>
      <w:pPr>
        <w:pStyle w:val="Heading1"/>
        <w:spacing w:before="1"/>
        <w:rPr>
          <w:u w:val="none"/>
        </w:rPr>
      </w:pPr>
      <w:r>
        <w:rPr>
          <w:u w:val="none"/>
        </w:rPr>
        <w:t>Analysis</w:t>
      </w:r>
      <w:r>
        <w:rPr>
          <w:spacing w:val="-2"/>
          <w:u w:val="none"/>
        </w:rPr>
        <w:t> </w:t>
      </w:r>
      <w:r>
        <w:rPr>
          <w:u w:val="none"/>
        </w:rPr>
        <w:t>of</w:t>
      </w:r>
      <w:r>
        <w:rPr>
          <w:spacing w:val="-2"/>
          <w:u w:val="none"/>
        </w:rPr>
        <w:t> </w:t>
      </w:r>
      <w:r>
        <w:rPr>
          <w:u w:val="none"/>
        </w:rPr>
        <w:t>Underlying</w:t>
      </w:r>
      <w:r>
        <w:rPr>
          <w:spacing w:val="-2"/>
          <w:u w:val="none"/>
        </w:rPr>
        <w:t> </w:t>
      </w:r>
      <w:r>
        <w:rPr>
          <w:u w:val="none"/>
        </w:rPr>
        <w:t>Equity</w:t>
      </w:r>
      <w:r>
        <w:rPr>
          <w:spacing w:val="-2"/>
          <w:u w:val="none"/>
        </w:rPr>
        <w:t> </w:t>
      </w:r>
      <w:r>
        <w:rPr>
          <w:u w:val="none"/>
        </w:rPr>
        <w:t>Asset</w:t>
      </w:r>
      <w:r>
        <w:rPr>
          <w:spacing w:val="-4"/>
          <w:u w:val="none"/>
        </w:rPr>
        <w:t> </w:t>
      </w:r>
      <w:r>
        <w:rPr>
          <w:u w:val="none"/>
        </w:rPr>
        <w:t>&amp;</w:t>
      </w:r>
      <w:r>
        <w:rPr>
          <w:spacing w:val="1"/>
          <w:u w:val="none"/>
        </w:rPr>
        <w:t> </w:t>
      </w:r>
      <w:r>
        <w:rPr>
          <w:u w:val="none"/>
        </w:rPr>
        <w:t>Equity</w:t>
      </w:r>
      <w:r>
        <w:rPr>
          <w:spacing w:val="-2"/>
          <w:u w:val="none"/>
        </w:rPr>
        <w:t> </w:t>
      </w:r>
      <w:r>
        <w:rPr>
          <w:u w:val="none"/>
        </w:rPr>
        <w:t>Futures</w:t>
      </w:r>
      <w:r>
        <w:rPr>
          <w:spacing w:val="-3"/>
          <w:u w:val="none"/>
        </w:rPr>
        <w:t> </w:t>
      </w:r>
      <w:r>
        <w:rPr>
          <w:u w:val="none"/>
        </w:rPr>
        <w:t>Instrument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"/>
        <w:ind w:left="309" w:right="637"/>
        <w:jc w:val="center"/>
      </w:pPr>
      <w:r>
        <w:rPr/>
        <w:t>BY</w:t>
      </w:r>
    </w:p>
    <w:p>
      <w:pPr>
        <w:pStyle w:val="Heading4"/>
        <w:spacing w:before="45"/>
        <w:ind w:right="633"/>
      </w:pPr>
      <w:r>
        <w:rPr/>
        <w:t>Group</w:t>
      </w:r>
      <w:r>
        <w:rPr>
          <w:spacing w:val="-2"/>
        </w:rPr>
        <w:t> </w:t>
      </w:r>
      <w:r>
        <w:rPr/>
        <w:t>22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ind w:left="1525" w:right="1849"/>
        <w:jc w:val="center"/>
      </w:pP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supervision of</w:t>
      </w:r>
    </w:p>
    <w:p>
      <w:pPr>
        <w:pStyle w:val="Heading4"/>
        <w:spacing w:before="47"/>
        <w:ind w:right="633"/>
      </w:pPr>
      <w:r>
        <w:rPr/>
        <w:t>Dr</w:t>
      </w:r>
      <w:r>
        <w:rPr>
          <w:spacing w:val="-3"/>
        </w:rPr>
        <w:t> </w:t>
      </w:r>
      <w:r>
        <w:rPr/>
        <w:t>Nagaraju Thota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spacing w:before="0"/>
        <w:ind w:left="311" w:right="634" w:firstLine="0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PARTIAL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FULFILMENT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REQUIREMENTS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</w:p>
    <w:p>
      <w:pPr>
        <w:pStyle w:val="Heading4"/>
        <w:spacing w:before="41"/>
        <w:ind w:right="637"/>
      </w:pPr>
      <w:r>
        <w:rPr/>
        <w:t>FIN</w:t>
      </w:r>
      <w:r>
        <w:rPr>
          <w:spacing w:val="-1"/>
        </w:rPr>
        <w:t> </w:t>
      </w:r>
      <w:r>
        <w:rPr/>
        <w:t>F311:</w:t>
      </w:r>
      <w:r>
        <w:rPr>
          <w:spacing w:val="-3"/>
        </w:rPr>
        <w:t> </w:t>
      </w:r>
      <w:r>
        <w:rPr/>
        <w:t>Derivatives</w:t>
      </w:r>
      <w:r>
        <w:rPr>
          <w:spacing w:val="1"/>
        </w:rPr>
        <w:t> </w:t>
      </w:r>
      <w:r>
        <w:rPr/>
        <w:t>&amp;</w:t>
      </w:r>
      <w:r>
        <w:rPr>
          <w:spacing w:val="-3"/>
        </w:rPr>
        <w:t> </w:t>
      </w:r>
      <w:r>
        <w:rPr/>
        <w:t>Risk</w:t>
      </w:r>
      <w:r>
        <w:rPr>
          <w:spacing w:val="-2"/>
        </w:rPr>
        <w:t> </w:t>
      </w:r>
      <w:r>
        <w:rPr/>
        <w:t>Management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3448811</wp:posOffset>
            </wp:positionH>
            <wp:positionV relativeFrom="paragraph">
              <wp:posOffset>137892</wp:posOffset>
            </wp:positionV>
            <wp:extent cx="771525" cy="809625"/>
            <wp:effectExtent l="0" t="0" r="0" b="0"/>
            <wp:wrapTopAndBottom/>
            <wp:docPr id="1" name="image1.jpeg" descr="Description: bits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1"/>
        </w:rPr>
      </w:pPr>
    </w:p>
    <w:p>
      <w:pPr>
        <w:spacing w:before="0"/>
        <w:ind w:left="309" w:right="637" w:firstLine="0"/>
        <w:jc w:val="center"/>
        <w:rPr>
          <w:b/>
          <w:sz w:val="24"/>
        </w:rPr>
      </w:pPr>
      <w:r>
        <w:rPr>
          <w:b/>
          <w:sz w:val="24"/>
        </w:rPr>
        <w:t>BIRLA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TECHNOLOGY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PILANI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(RAJASTHAN)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Heading4"/>
        <w:spacing w:before="1"/>
        <w:ind w:right="280"/>
      </w:pPr>
      <w:r>
        <w:rPr/>
        <w:t>HYDERABAD</w:t>
      </w:r>
      <w:r>
        <w:rPr>
          <w:spacing w:val="-3"/>
        </w:rPr>
        <w:t> </w:t>
      </w:r>
      <w:r>
        <w:rPr/>
        <w:t>CAMPUS</w:t>
      </w:r>
    </w:p>
    <w:p>
      <w:pPr>
        <w:pStyle w:val="BodyText"/>
        <w:spacing w:before="10"/>
        <w:rPr>
          <w:b/>
          <w:sz w:val="30"/>
        </w:rPr>
      </w:pPr>
    </w:p>
    <w:p>
      <w:pPr>
        <w:spacing w:before="0"/>
        <w:ind w:left="311" w:right="634" w:firstLine="0"/>
        <w:jc w:val="center"/>
        <w:rPr>
          <w:sz w:val="24"/>
        </w:rPr>
      </w:pPr>
      <w:r>
        <w:rPr>
          <w:b/>
          <w:sz w:val="24"/>
        </w:rPr>
        <w:t>(April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2021</w:t>
      </w:r>
      <w:r>
        <w:rPr>
          <w:sz w:val="24"/>
        </w:rPr>
        <w:t>)</w:t>
      </w:r>
    </w:p>
    <w:p>
      <w:pPr>
        <w:spacing w:after="0"/>
        <w:jc w:val="center"/>
        <w:rPr>
          <w:sz w:val="24"/>
        </w:rPr>
        <w:sectPr>
          <w:headerReference w:type="default" r:id="rId5"/>
          <w:footerReference w:type="default" r:id="rId6"/>
          <w:type w:val="continuous"/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Heading1"/>
        <w:ind w:left="309"/>
        <w:rPr>
          <w:u w:val="none"/>
        </w:rPr>
      </w:pPr>
      <w:bookmarkStart w:name="_bookmark0" w:id="1"/>
      <w:bookmarkEnd w:id="1"/>
      <w:r>
        <w:rPr>
          <w:b w:val="0"/>
          <w:u w:val="none"/>
        </w:rPr>
      </w:r>
      <w:r>
        <w:rPr>
          <w:u w:val="thick"/>
        </w:rPr>
        <w:t>ACKNOWLEDGEMENT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360" w:lineRule="auto"/>
        <w:ind w:left="131" w:right="450"/>
        <w:jc w:val="both"/>
      </w:pPr>
      <w:r>
        <w:rPr/>
        <w:t>We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like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express our</w:t>
      </w:r>
      <w:r>
        <w:rPr>
          <w:spacing w:val="-1"/>
        </w:rPr>
        <w:t> </w:t>
      </w:r>
      <w:r>
        <w:rPr/>
        <w:t>sincere</w:t>
      </w:r>
      <w:r>
        <w:rPr>
          <w:spacing w:val="-2"/>
        </w:rPr>
        <w:t> </w:t>
      </w:r>
      <w:r>
        <w:rPr/>
        <w:t>gratitude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Dr</w:t>
      </w:r>
      <w:r>
        <w:rPr>
          <w:spacing w:val="-2"/>
        </w:rPr>
        <w:t> </w:t>
      </w:r>
      <w:r>
        <w:rPr/>
        <w:t>Nagaraju</w:t>
      </w:r>
      <w:r>
        <w:rPr>
          <w:spacing w:val="-1"/>
        </w:rPr>
        <w:t> </w:t>
      </w:r>
      <w:r>
        <w:rPr/>
        <w:t>Thota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giving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opportunity</w:t>
      </w:r>
      <w:r>
        <w:rPr>
          <w:spacing w:val="-57"/>
        </w:rPr>
        <w:t> </w:t>
      </w:r>
      <w:r>
        <w:rPr/>
        <w:t>to work under him for this project and take his valuable time to provide us with invaluable inputs</w:t>
      </w:r>
      <w:r>
        <w:rPr>
          <w:spacing w:val="1"/>
        </w:rPr>
        <w:t> </w:t>
      </w:r>
      <w:r>
        <w:rPr/>
        <w:t>wherever</w:t>
      </w:r>
      <w:r>
        <w:rPr>
          <w:spacing w:val="-1"/>
        </w:rPr>
        <w:t> </w:t>
      </w:r>
      <w:r>
        <w:rPr/>
        <w:t>required.</w:t>
      </w:r>
      <w:r>
        <w:rPr>
          <w:spacing w:val="-1"/>
        </w:rPr>
        <w:t> </w:t>
      </w:r>
      <w:r>
        <w:rPr/>
        <w:t>His</w:t>
      </w:r>
      <w:r>
        <w:rPr>
          <w:spacing w:val="-4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proved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very</w:t>
      </w:r>
      <w:r>
        <w:rPr>
          <w:spacing w:val="-8"/>
        </w:rPr>
        <w:t> </w:t>
      </w:r>
      <w:r>
        <w:rPr/>
        <w:t>vital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project. We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thank</w:t>
      </w:r>
      <w:r>
        <w:rPr>
          <w:spacing w:val="-58"/>
        </w:rPr>
        <w:t> </w:t>
      </w:r>
      <w:r>
        <w:rPr/>
        <w:t>him and the Birla Institute of Technology and Science, Pilani, for giving us such an excellent</w:t>
      </w:r>
      <w:r>
        <w:rPr>
          <w:spacing w:val="1"/>
        </w:rPr>
        <w:t> </w:t>
      </w:r>
      <w:r>
        <w:rPr>
          <w:spacing w:val="-1"/>
        </w:rPr>
        <w:t>opportunity</w:t>
      </w:r>
      <w:r>
        <w:rPr>
          <w:spacing w:val="-20"/>
        </w:rPr>
        <w:t> </w:t>
      </w:r>
      <w:r>
        <w:rPr/>
        <w:t>to</w:t>
      </w:r>
      <w:r>
        <w:rPr>
          <w:spacing w:val="-13"/>
        </w:rPr>
        <w:t> </w:t>
      </w:r>
      <w:r>
        <w:rPr/>
        <w:t>apply</w:t>
      </w:r>
      <w:r>
        <w:rPr>
          <w:spacing w:val="-20"/>
        </w:rPr>
        <w:t> </w:t>
      </w:r>
      <w:r>
        <w:rPr/>
        <w:t>our</w:t>
      </w:r>
      <w:r>
        <w:rPr>
          <w:spacing w:val="-15"/>
        </w:rPr>
        <w:t> </w:t>
      </w:r>
      <w:r>
        <w:rPr/>
        <w:t>course</w:t>
      </w:r>
      <w:r>
        <w:rPr>
          <w:spacing w:val="-16"/>
        </w:rPr>
        <w:t> </w:t>
      </w:r>
      <w:r>
        <w:rPr/>
        <w:t>knowledge</w:t>
      </w:r>
      <w:r>
        <w:rPr>
          <w:spacing w:val="-15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6"/>
        </w:rPr>
        <w:t> </w:t>
      </w:r>
      <w:r>
        <w:rPr/>
        <w:t>real-life</w:t>
      </w:r>
      <w:r>
        <w:rPr>
          <w:spacing w:val="-16"/>
        </w:rPr>
        <w:t> </w:t>
      </w:r>
      <w:r>
        <w:rPr/>
        <w:t>scenario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get</w:t>
      </w:r>
      <w:r>
        <w:rPr>
          <w:spacing w:val="-13"/>
        </w:rPr>
        <w:t> </w:t>
      </w:r>
      <w:r>
        <w:rPr/>
        <w:t>some</w:t>
      </w:r>
      <w:r>
        <w:rPr>
          <w:spacing w:val="-15"/>
        </w:rPr>
        <w:t> </w:t>
      </w:r>
      <w:r>
        <w:rPr/>
        <w:t>hands-on</w:t>
      </w:r>
      <w:r>
        <w:rPr>
          <w:spacing w:val="-14"/>
        </w:rPr>
        <w:t> </w:t>
      </w:r>
      <w:r>
        <w:rPr/>
        <w:t>experience.</w:t>
      </w:r>
      <w:r>
        <w:rPr>
          <w:spacing w:val="-58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thankful for all his help and guidance</w:t>
      </w:r>
      <w:r>
        <w:rPr>
          <w:spacing w:val="-1"/>
        </w:rPr>
        <w:t> </w:t>
      </w:r>
      <w:r>
        <w:rPr/>
        <w:t>throughout the</w:t>
      </w:r>
      <w:r>
        <w:rPr>
          <w:spacing w:val="-1"/>
        </w:rPr>
        <w:t> </w:t>
      </w:r>
      <w:r>
        <w:rPr/>
        <w:t>course</w:t>
      </w:r>
      <w:r>
        <w:rPr>
          <w:spacing w:val="-2"/>
        </w:rPr>
        <w:t> </w:t>
      </w:r>
      <w:r>
        <w:rPr/>
        <w:t>and this assignment.</w:t>
      </w:r>
    </w:p>
    <w:p>
      <w:pPr>
        <w:spacing w:after="0" w:line="360" w:lineRule="auto"/>
        <w:jc w:val="both"/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1"/>
        <w:ind w:left="1525" w:right="1849"/>
        <w:rPr>
          <w:u w:val="none"/>
        </w:rPr>
      </w:pPr>
      <w:bookmarkStart w:name="_bookmark1" w:id="2"/>
      <w:bookmarkEnd w:id="2"/>
      <w:r>
        <w:rPr>
          <w:b w:val="0"/>
          <w:u w:val="none"/>
        </w:rPr>
      </w:r>
      <w:r>
        <w:rPr>
          <w:u w:val="thick"/>
        </w:rPr>
        <w:t>GROUP</w:t>
      </w:r>
      <w:r>
        <w:rPr>
          <w:spacing w:val="-6"/>
          <w:u w:val="thick"/>
        </w:rPr>
        <w:t> </w:t>
      </w:r>
      <w:r>
        <w:rPr>
          <w:u w:val="thick"/>
        </w:rPr>
        <w:t>DETAILS</w:t>
      </w:r>
    </w:p>
    <w:p>
      <w:pPr>
        <w:spacing w:before="178"/>
        <w:ind w:left="1525" w:right="1849" w:firstLine="0"/>
        <w:jc w:val="center"/>
        <w:rPr>
          <w:b/>
          <w:sz w:val="26"/>
        </w:rPr>
      </w:pPr>
      <w:r>
        <w:rPr>
          <w:b/>
          <w:sz w:val="26"/>
        </w:rPr>
        <w:t>Group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22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</w:p>
    <w:tbl>
      <w:tblPr>
        <w:tblW w:w="0" w:type="auto"/>
        <w:jc w:val="left"/>
        <w:tblInd w:w="4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3704"/>
        <w:gridCol w:w="2340"/>
        <w:gridCol w:w="2100"/>
      </w:tblGrid>
      <w:tr>
        <w:trPr>
          <w:trHeight w:val="752" w:hRule="atLeast"/>
        </w:trPr>
        <w:tc>
          <w:tcPr>
            <w:tcW w:w="1140" w:type="dxa"/>
          </w:tcPr>
          <w:p>
            <w:pPr>
              <w:pStyle w:val="TableParagraph"/>
              <w:spacing w:before="97"/>
              <w:ind w:left="303" w:right="289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704" w:type="dxa"/>
          </w:tcPr>
          <w:p>
            <w:pPr>
              <w:pStyle w:val="TableParagraph"/>
              <w:spacing w:before="97"/>
              <w:ind w:left="196" w:right="18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340" w:type="dxa"/>
          </w:tcPr>
          <w:p>
            <w:pPr>
              <w:pStyle w:val="TableParagraph"/>
              <w:spacing w:before="97"/>
              <w:ind w:left="283" w:right="262"/>
              <w:rPr>
                <w:b/>
                <w:sz w:val="24"/>
              </w:rPr>
            </w:pPr>
            <w:r>
              <w:rPr>
                <w:b/>
                <w:sz w:val="24"/>
              </w:rPr>
              <w:t>ID.No</w:t>
            </w:r>
          </w:p>
        </w:tc>
        <w:tc>
          <w:tcPr>
            <w:tcW w:w="2100" w:type="dxa"/>
          </w:tcPr>
          <w:p>
            <w:pPr>
              <w:pStyle w:val="TableParagraph"/>
              <w:spacing w:before="97"/>
              <w:ind w:left="605" w:right="376" w:hanging="18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Contributed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(Yes/No)</w:t>
            </w:r>
          </w:p>
        </w:tc>
      </w:tr>
      <w:tr>
        <w:trPr>
          <w:trHeight w:val="474" w:hRule="atLeast"/>
        </w:trPr>
        <w:tc>
          <w:tcPr>
            <w:tcW w:w="1140" w:type="dxa"/>
          </w:tcPr>
          <w:p>
            <w:pPr>
              <w:pStyle w:val="TableParagraph"/>
              <w:spacing w:before="92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04" w:type="dxa"/>
          </w:tcPr>
          <w:p>
            <w:pPr>
              <w:pStyle w:val="TableParagraph"/>
              <w:spacing w:before="92"/>
              <w:ind w:left="196" w:right="185"/>
              <w:rPr>
                <w:sz w:val="24"/>
              </w:rPr>
            </w:pPr>
            <w:r>
              <w:rPr>
                <w:sz w:val="24"/>
              </w:rPr>
              <w:t>Akarshit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Mohapatra</w:t>
            </w:r>
          </w:p>
        </w:tc>
        <w:tc>
          <w:tcPr>
            <w:tcW w:w="2340" w:type="dxa"/>
          </w:tcPr>
          <w:p>
            <w:pPr>
              <w:pStyle w:val="TableParagraph"/>
              <w:spacing w:before="92"/>
              <w:ind w:left="283" w:right="261"/>
              <w:rPr>
                <w:sz w:val="24"/>
              </w:rPr>
            </w:pPr>
            <w:r>
              <w:rPr>
                <w:sz w:val="24"/>
              </w:rPr>
              <w:t>2019A2PS1511H</w:t>
            </w:r>
          </w:p>
        </w:tc>
        <w:tc>
          <w:tcPr>
            <w:tcW w:w="2100" w:type="dxa"/>
          </w:tcPr>
          <w:p>
            <w:pPr>
              <w:pStyle w:val="TableParagraph"/>
              <w:spacing w:before="92"/>
              <w:ind w:left="0" w:right="841"/>
              <w:jc w:val="righ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>
        <w:trPr>
          <w:trHeight w:val="477" w:hRule="atLeast"/>
        </w:trPr>
        <w:tc>
          <w:tcPr>
            <w:tcW w:w="1140" w:type="dxa"/>
          </w:tcPr>
          <w:p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704" w:type="dxa"/>
          </w:tcPr>
          <w:p>
            <w:pPr>
              <w:pStyle w:val="TableParagraph"/>
              <w:ind w:left="196" w:right="187"/>
              <w:rPr>
                <w:sz w:val="24"/>
              </w:rPr>
            </w:pPr>
            <w:r>
              <w:rPr>
                <w:sz w:val="24"/>
              </w:rPr>
              <w:t>Sreenivasapuram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Krishna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Prajwal</w:t>
            </w:r>
          </w:p>
        </w:tc>
        <w:tc>
          <w:tcPr>
            <w:tcW w:w="2340" w:type="dxa"/>
          </w:tcPr>
          <w:p>
            <w:pPr>
              <w:pStyle w:val="TableParagraph"/>
              <w:ind w:left="283" w:right="261"/>
              <w:rPr>
                <w:sz w:val="24"/>
              </w:rPr>
            </w:pPr>
            <w:r>
              <w:rPr>
                <w:sz w:val="24"/>
              </w:rPr>
              <w:t>2019A4PS0834H</w:t>
            </w:r>
          </w:p>
        </w:tc>
        <w:tc>
          <w:tcPr>
            <w:tcW w:w="2100" w:type="dxa"/>
          </w:tcPr>
          <w:p>
            <w:pPr>
              <w:pStyle w:val="TableParagraph"/>
              <w:ind w:left="0" w:right="841"/>
              <w:jc w:val="righ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>
        <w:trPr>
          <w:trHeight w:val="476" w:hRule="atLeast"/>
        </w:trPr>
        <w:tc>
          <w:tcPr>
            <w:tcW w:w="1140" w:type="dxa"/>
          </w:tcPr>
          <w:p>
            <w:pPr>
              <w:pStyle w:val="TableParagraph"/>
              <w:spacing w:before="92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704" w:type="dxa"/>
          </w:tcPr>
          <w:p>
            <w:pPr>
              <w:pStyle w:val="TableParagraph"/>
              <w:spacing w:before="92"/>
              <w:ind w:left="196" w:right="186"/>
              <w:rPr>
                <w:sz w:val="24"/>
              </w:rPr>
            </w:pPr>
            <w:r>
              <w:rPr>
                <w:sz w:val="24"/>
              </w:rPr>
              <w:t>Aayush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Ambarish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Tiwari</w:t>
            </w:r>
          </w:p>
        </w:tc>
        <w:tc>
          <w:tcPr>
            <w:tcW w:w="2340" w:type="dxa"/>
          </w:tcPr>
          <w:p>
            <w:pPr>
              <w:pStyle w:val="TableParagraph"/>
              <w:spacing w:before="92"/>
              <w:ind w:left="283" w:right="261"/>
              <w:rPr>
                <w:sz w:val="24"/>
              </w:rPr>
            </w:pPr>
            <w:r>
              <w:rPr>
                <w:sz w:val="24"/>
              </w:rPr>
              <w:t>2019A4PS0695H</w:t>
            </w:r>
          </w:p>
        </w:tc>
        <w:tc>
          <w:tcPr>
            <w:tcW w:w="2100" w:type="dxa"/>
          </w:tcPr>
          <w:p>
            <w:pPr>
              <w:pStyle w:val="TableParagraph"/>
              <w:spacing w:before="92"/>
              <w:ind w:left="0" w:right="841"/>
              <w:jc w:val="righ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>
        <w:trPr>
          <w:trHeight w:val="474" w:hRule="atLeast"/>
        </w:trPr>
        <w:tc>
          <w:tcPr>
            <w:tcW w:w="1140" w:type="dxa"/>
          </w:tcPr>
          <w:p>
            <w:pPr>
              <w:pStyle w:val="TableParagraph"/>
              <w:spacing w:before="92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704" w:type="dxa"/>
          </w:tcPr>
          <w:p>
            <w:pPr>
              <w:pStyle w:val="TableParagraph"/>
              <w:spacing w:before="92"/>
              <w:ind w:left="196" w:right="186"/>
              <w:rPr>
                <w:sz w:val="24"/>
              </w:rPr>
            </w:pPr>
            <w:r>
              <w:rPr>
                <w:sz w:val="24"/>
              </w:rPr>
              <w:t>Bibin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Varghese</w:t>
            </w:r>
          </w:p>
        </w:tc>
        <w:tc>
          <w:tcPr>
            <w:tcW w:w="2340" w:type="dxa"/>
          </w:tcPr>
          <w:p>
            <w:pPr>
              <w:pStyle w:val="TableParagraph"/>
              <w:spacing w:before="92"/>
              <w:ind w:left="283" w:right="262"/>
              <w:rPr>
                <w:sz w:val="24"/>
              </w:rPr>
            </w:pPr>
            <w:r>
              <w:rPr>
                <w:sz w:val="24"/>
              </w:rPr>
              <w:t>2017ABPS1592H</w:t>
            </w:r>
          </w:p>
        </w:tc>
        <w:tc>
          <w:tcPr>
            <w:tcW w:w="2100" w:type="dxa"/>
          </w:tcPr>
          <w:p>
            <w:pPr>
              <w:pStyle w:val="TableParagraph"/>
              <w:spacing w:before="92"/>
              <w:ind w:left="0" w:right="841"/>
              <w:jc w:val="righ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>
        <w:trPr>
          <w:trHeight w:val="476" w:hRule="atLeast"/>
        </w:trPr>
        <w:tc>
          <w:tcPr>
            <w:tcW w:w="1140" w:type="dxa"/>
          </w:tcPr>
          <w:p>
            <w:pPr>
              <w:pStyle w:val="TableParagraph"/>
              <w:spacing w:before="92"/>
              <w:ind w:left="1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704" w:type="dxa"/>
          </w:tcPr>
          <w:p>
            <w:pPr>
              <w:pStyle w:val="TableParagraph"/>
              <w:spacing w:before="92"/>
              <w:ind w:left="196" w:right="183"/>
              <w:rPr>
                <w:sz w:val="24"/>
              </w:rPr>
            </w:pPr>
            <w:r>
              <w:rPr>
                <w:sz w:val="24"/>
              </w:rPr>
              <w:t>Mayank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Sureka</w:t>
            </w:r>
          </w:p>
        </w:tc>
        <w:tc>
          <w:tcPr>
            <w:tcW w:w="2340" w:type="dxa"/>
          </w:tcPr>
          <w:p>
            <w:pPr>
              <w:pStyle w:val="TableParagraph"/>
              <w:spacing w:before="92"/>
              <w:ind w:left="283" w:right="261"/>
              <w:rPr>
                <w:sz w:val="24"/>
              </w:rPr>
            </w:pPr>
            <w:r>
              <w:rPr>
                <w:sz w:val="24"/>
              </w:rPr>
              <w:t>2019A4PS0668H</w:t>
            </w:r>
          </w:p>
        </w:tc>
        <w:tc>
          <w:tcPr>
            <w:tcW w:w="2100" w:type="dxa"/>
          </w:tcPr>
          <w:p>
            <w:pPr>
              <w:pStyle w:val="TableParagraph"/>
              <w:spacing w:before="92"/>
              <w:ind w:left="0" w:right="841"/>
              <w:jc w:val="righ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</w:tbl>
    <w:p>
      <w:pPr>
        <w:pStyle w:val="BodyText"/>
        <w:spacing w:before="6"/>
        <w:rPr>
          <w:b/>
          <w:sz w:val="12"/>
        </w:rPr>
      </w:pPr>
    </w:p>
    <w:p>
      <w:pPr>
        <w:pStyle w:val="BodyText"/>
        <w:spacing w:before="90"/>
        <w:ind w:left="851"/>
      </w:pPr>
      <w:r>
        <w:rPr>
          <w:w w:val="99"/>
        </w:rPr>
        <w:t>·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5"/>
        <w:ind w:left="311" w:right="637" w:firstLine="0"/>
        <w:jc w:val="center"/>
        <w:rPr>
          <w:b/>
          <w:sz w:val="30"/>
        </w:rPr>
      </w:pPr>
      <w:r>
        <w:rPr>
          <w:b/>
          <w:sz w:val="30"/>
          <w:u w:val="thick"/>
        </w:rPr>
        <w:t>INSTRUMENT</w:t>
      </w:r>
      <w:r>
        <w:rPr>
          <w:b/>
          <w:spacing w:val="-3"/>
          <w:sz w:val="30"/>
          <w:u w:val="thick"/>
        </w:rPr>
        <w:t> </w:t>
      </w:r>
      <w:r>
        <w:rPr>
          <w:b/>
          <w:sz w:val="30"/>
          <w:u w:val="thick"/>
        </w:rPr>
        <w:t>DETAILS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0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5"/>
        <w:gridCol w:w="3947"/>
        <w:gridCol w:w="2972"/>
      </w:tblGrid>
      <w:tr>
        <w:trPr>
          <w:trHeight w:val="543" w:hRule="atLeast"/>
        </w:trPr>
        <w:tc>
          <w:tcPr>
            <w:tcW w:w="2535" w:type="dxa"/>
          </w:tcPr>
          <w:p>
            <w:pPr>
              <w:pStyle w:val="TableParagraph"/>
              <w:spacing w:before="98"/>
              <w:ind w:left="85" w:right="74"/>
              <w:rPr>
                <w:b/>
                <w:sz w:val="30"/>
              </w:rPr>
            </w:pPr>
            <w:r>
              <w:rPr>
                <w:b/>
                <w:sz w:val="30"/>
              </w:rPr>
              <w:t>Sr.</w:t>
            </w:r>
            <w:r>
              <w:rPr>
                <w:b/>
                <w:spacing w:val="-5"/>
                <w:sz w:val="30"/>
              </w:rPr>
              <w:t> </w:t>
            </w:r>
            <w:r>
              <w:rPr>
                <w:b/>
                <w:sz w:val="30"/>
              </w:rPr>
              <w:t>Number</w:t>
            </w:r>
          </w:p>
        </w:tc>
        <w:tc>
          <w:tcPr>
            <w:tcW w:w="3947" w:type="dxa"/>
          </w:tcPr>
          <w:p>
            <w:pPr>
              <w:pStyle w:val="TableParagraph"/>
              <w:spacing w:before="98"/>
              <w:ind w:left="834"/>
              <w:jc w:val="left"/>
              <w:rPr>
                <w:b/>
                <w:sz w:val="30"/>
              </w:rPr>
            </w:pPr>
            <w:r>
              <w:rPr>
                <w:b/>
                <w:sz w:val="30"/>
              </w:rPr>
              <w:t>Instrument</w:t>
            </w:r>
            <w:r>
              <w:rPr>
                <w:b/>
                <w:spacing w:val="-3"/>
                <w:sz w:val="30"/>
              </w:rPr>
              <w:t> </w:t>
            </w:r>
            <w:r>
              <w:rPr>
                <w:b/>
                <w:sz w:val="30"/>
              </w:rPr>
              <w:t>Name</w:t>
            </w:r>
          </w:p>
        </w:tc>
        <w:tc>
          <w:tcPr>
            <w:tcW w:w="2972" w:type="dxa"/>
          </w:tcPr>
          <w:p>
            <w:pPr>
              <w:pStyle w:val="TableParagraph"/>
              <w:spacing w:before="98"/>
              <w:ind w:left="852" w:right="845"/>
              <w:rPr>
                <w:b/>
                <w:sz w:val="30"/>
              </w:rPr>
            </w:pPr>
            <w:r>
              <w:rPr>
                <w:b/>
                <w:sz w:val="30"/>
              </w:rPr>
              <w:t>Symbol</w:t>
            </w:r>
          </w:p>
        </w:tc>
      </w:tr>
      <w:tr>
        <w:trPr>
          <w:trHeight w:val="752" w:hRule="atLeast"/>
        </w:trPr>
        <w:tc>
          <w:tcPr>
            <w:tcW w:w="2535" w:type="dxa"/>
          </w:tcPr>
          <w:p>
            <w:pPr>
              <w:pStyle w:val="TableParagraph"/>
              <w:spacing w:before="92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47" w:type="dxa"/>
          </w:tcPr>
          <w:p>
            <w:pPr>
              <w:pStyle w:val="TableParagraph"/>
              <w:spacing w:before="92"/>
              <w:ind w:left="1096" w:right="382" w:hanging="677"/>
              <w:jc w:val="left"/>
              <w:rPr>
                <w:sz w:val="24"/>
              </w:rPr>
            </w:pPr>
            <w:r>
              <w:rPr>
                <w:sz w:val="24"/>
              </w:rPr>
              <w:t>Cholamandalam Investment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Finance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</w:t>
            </w:r>
          </w:p>
        </w:tc>
        <w:tc>
          <w:tcPr>
            <w:tcW w:w="2972" w:type="dxa"/>
          </w:tcPr>
          <w:p>
            <w:pPr>
              <w:pStyle w:val="TableParagraph"/>
              <w:spacing w:before="92"/>
              <w:ind w:left="852" w:right="846"/>
              <w:rPr>
                <w:sz w:val="24"/>
              </w:rPr>
            </w:pPr>
            <w:r>
              <w:rPr>
                <w:sz w:val="24"/>
              </w:rPr>
              <w:t>CHOLAFIN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</w:p>
    <w:p>
      <w:pPr>
        <w:pStyle w:val="Heading1"/>
        <w:ind w:right="636"/>
        <w:rPr>
          <w:u w:val="none"/>
        </w:rPr>
      </w:pPr>
      <w:bookmarkStart w:name="_bookmark2" w:id="3"/>
      <w:bookmarkEnd w:id="3"/>
      <w:r>
        <w:rPr>
          <w:b w:val="0"/>
          <w:u w:val="none"/>
        </w:rPr>
      </w:r>
      <w:r>
        <w:rPr>
          <w:u w:val="thick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spacing w:line="360" w:lineRule="auto" w:before="90"/>
        <w:ind w:left="131" w:right="455"/>
        <w:jc w:val="both"/>
      </w:pPr>
      <w:r>
        <w:rPr/>
        <w:t>The</w:t>
      </w:r>
      <w:r>
        <w:rPr>
          <w:spacing w:val="-8"/>
        </w:rPr>
        <w:t> </w:t>
      </w:r>
      <w:r>
        <w:rPr/>
        <w:t>project</w:t>
      </w:r>
      <w:r>
        <w:rPr>
          <w:spacing w:val="-7"/>
        </w:rPr>
        <w:t> </w:t>
      </w:r>
      <w:r>
        <w:rPr/>
        <w:t>mainly</w:t>
      </w:r>
      <w:r>
        <w:rPr>
          <w:spacing w:val="-11"/>
        </w:rPr>
        <w:t> </w:t>
      </w:r>
      <w:r>
        <w:rPr/>
        <w:t>aims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make</w:t>
      </w:r>
      <w:r>
        <w:rPr>
          <w:spacing w:val="-8"/>
        </w:rPr>
        <w:t> </w:t>
      </w:r>
      <w:r>
        <w:rPr/>
        <w:t>recommendations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Cholamandalam</w:t>
      </w:r>
      <w:r>
        <w:rPr>
          <w:spacing w:val="-5"/>
        </w:rPr>
        <w:t> </w:t>
      </w:r>
      <w:r>
        <w:rPr/>
        <w:t>Investment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Finance</w:t>
      </w:r>
      <w:r>
        <w:rPr>
          <w:spacing w:val="-58"/>
        </w:rPr>
        <w:t> </w:t>
      </w:r>
      <w:r>
        <w:rPr/>
        <w:t>Company</w:t>
      </w:r>
      <w:r>
        <w:rPr>
          <w:spacing w:val="-9"/>
        </w:rPr>
        <w:t> </w:t>
      </w:r>
      <w:r>
        <w:rPr/>
        <w:t>Ltd.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accomplished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analysing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spot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future</w:t>
      </w:r>
      <w:r>
        <w:rPr>
          <w:spacing w:val="-7"/>
        </w:rPr>
        <w:t> </w:t>
      </w:r>
      <w:r>
        <w:rPr/>
        <w:t>prices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company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one</w:t>
      </w:r>
      <w:r>
        <w:rPr>
          <w:spacing w:val="-58"/>
        </w:rPr>
        <w:t> </w:t>
      </w:r>
      <w:r>
        <w:rPr/>
        <w:t>year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March</w:t>
      </w:r>
      <w:r>
        <w:rPr>
          <w:spacing w:val="-9"/>
        </w:rPr>
        <w:t> </w:t>
      </w:r>
      <w:r>
        <w:rPr/>
        <w:t>2</w:t>
      </w:r>
      <w:r>
        <w:rPr>
          <w:spacing w:val="-8"/>
        </w:rPr>
        <w:t> </w:t>
      </w:r>
      <w:r>
        <w:rPr/>
        <w:t>2020,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March</w:t>
      </w:r>
      <w:r>
        <w:rPr>
          <w:spacing w:val="-9"/>
        </w:rPr>
        <w:t> </w:t>
      </w:r>
      <w:r>
        <w:rPr/>
        <w:t>26</w:t>
      </w:r>
      <w:r>
        <w:rPr>
          <w:spacing w:val="-9"/>
        </w:rPr>
        <w:t> </w:t>
      </w:r>
      <w:r>
        <w:rPr/>
        <w:t>2021.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quick</w:t>
      </w:r>
      <w:r>
        <w:rPr>
          <w:spacing w:val="-9"/>
        </w:rPr>
        <w:t> </w:t>
      </w:r>
      <w:r>
        <w:rPr/>
        <w:t>introduction</w:t>
      </w:r>
      <w:r>
        <w:rPr>
          <w:spacing w:val="-9"/>
        </w:rPr>
        <w:t> </w:t>
      </w:r>
      <w:r>
        <w:rPr/>
        <w:t>explaining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nature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business,</w:t>
      </w:r>
      <w:r>
        <w:rPr>
          <w:spacing w:val="-58"/>
        </w:rPr>
        <w:t> </w:t>
      </w:r>
      <w:r>
        <w:rPr/>
        <w:t>structure of ownership, influence on the market and its overall importance is provided for the</w:t>
      </w:r>
      <w:r>
        <w:rPr>
          <w:spacing w:val="1"/>
        </w:rPr>
        <w:t> </w:t>
      </w:r>
      <w:r>
        <w:rPr/>
        <w:t>company</w:t>
      </w:r>
      <w:r>
        <w:rPr>
          <w:spacing w:val="-5"/>
        </w:rPr>
        <w:t> </w:t>
      </w:r>
      <w:r>
        <w:rPr/>
        <w:t>as mentioned above.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131" w:right="455"/>
        <w:jc w:val="both"/>
      </w:pPr>
      <w:r>
        <w:rPr/>
        <w:t>As this fulfils the qualitative analysis, thorough quantitative analysis is provided through the</w:t>
      </w:r>
      <w:r>
        <w:rPr>
          <w:spacing w:val="1"/>
        </w:rPr>
        <w:t> </w:t>
      </w:r>
      <w:r>
        <w:rPr/>
        <w:t>comparison of returns. The returns on Equity were measured and plotted on a graph against daily,</w:t>
      </w:r>
      <w:r>
        <w:rPr>
          <w:spacing w:val="1"/>
        </w:rPr>
        <w:t> </w:t>
      </w:r>
      <w:r>
        <w:rPr/>
        <w:t>weekly,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monthly</w:t>
      </w:r>
      <w:r>
        <w:rPr>
          <w:spacing w:val="-8"/>
        </w:rPr>
        <w:t> </w:t>
      </w:r>
      <w:r>
        <w:rPr/>
        <w:t>dates.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returns</w:t>
      </w:r>
      <w:r>
        <w:rPr>
          <w:spacing w:val="1"/>
        </w:rPr>
        <w:t> </w:t>
      </w:r>
      <w:r>
        <w:rPr/>
        <w:t>were</w:t>
      </w:r>
      <w:r>
        <w:rPr>
          <w:spacing w:val="-4"/>
        </w:rPr>
        <w:t> </w:t>
      </w:r>
      <w:r>
        <w:rPr/>
        <w:t>then</w:t>
      </w:r>
      <w:r>
        <w:rPr>
          <w:spacing w:val="-1"/>
        </w:rPr>
        <w:t> </w:t>
      </w:r>
      <w:r>
        <w:rPr/>
        <w:t>adjusted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risk</w:t>
      </w:r>
      <w:r>
        <w:rPr>
          <w:spacing w:val="-3"/>
        </w:rPr>
        <w:t> </w:t>
      </w:r>
      <w:r>
        <w:rPr/>
        <w:t>by</w:t>
      </w:r>
      <w:r>
        <w:rPr>
          <w:spacing w:val="-7"/>
        </w:rPr>
        <w:t> </w:t>
      </w:r>
      <w:r>
        <w:rPr/>
        <w:t>deducting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T-Bill</w:t>
      </w:r>
      <w:r>
        <w:rPr>
          <w:spacing w:val="-2"/>
        </w:rPr>
        <w:t> </w:t>
      </w:r>
      <w:r>
        <w:rPr/>
        <w:t>rate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frequency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more</w:t>
      </w:r>
      <w:r>
        <w:rPr>
          <w:spacing w:val="-2"/>
        </w:rPr>
        <w:t> </w:t>
      </w:r>
      <w:r>
        <w:rPr/>
        <w:t>realistic</w:t>
      </w:r>
      <w:r>
        <w:rPr>
          <w:spacing w:val="-5"/>
        </w:rPr>
        <w:t> </w:t>
      </w:r>
      <w:r>
        <w:rPr/>
        <w:t>view.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excess returns gained</w:t>
      </w:r>
      <w:r>
        <w:rPr>
          <w:spacing w:val="-3"/>
        </w:rPr>
        <w:t> </w:t>
      </w:r>
      <w:r>
        <w:rPr/>
        <w:t>over</w:t>
      </w:r>
      <w:r>
        <w:rPr>
          <w:spacing w:val="-5"/>
        </w:rPr>
        <w:t> </w:t>
      </w:r>
      <w:r>
        <w:rPr/>
        <w:t>the</w:t>
      </w:r>
      <w:r>
        <w:rPr>
          <w:spacing w:val="-57"/>
        </w:rPr>
        <w:t> </w:t>
      </w:r>
      <w:r>
        <w:rPr/>
        <w:t>risk-free return. Sharpe Ratio was computed to understand the excess return per unit of risk</w:t>
      </w:r>
      <w:r>
        <w:rPr>
          <w:spacing w:val="1"/>
        </w:rPr>
        <w:t> </w:t>
      </w:r>
      <w:r>
        <w:rPr/>
        <w:t>undertaken.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131" w:right="451"/>
        <w:jc w:val="both"/>
      </w:pPr>
      <w:r>
        <w:rPr/>
        <w:t>Following this are the tabular formatted Mean Return, Maximum Return, Minimum Return, and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Deviation.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comparable</w:t>
      </w:r>
      <w:r>
        <w:rPr>
          <w:spacing w:val="1"/>
        </w:rPr>
        <w:t> </w:t>
      </w:r>
      <w:r>
        <w:rPr/>
        <w:t>procedure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equity</w:t>
      </w:r>
      <w:r>
        <w:rPr>
          <w:spacing w:val="1"/>
        </w:rPr>
        <w:t> </w:t>
      </w:r>
      <w:r>
        <w:rPr/>
        <w:t>derivatives of such stocks. Futures price was obtained from the clearing house for daily, weekly,</w:t>
      </w:r>
      <w:r>
        <w:rPr>
          <w:spacing w:val="1"/>
        </w:rPr>
        <w:t> </w:t>
      </w:r>
      <w:r>
        <w:rPr/>
        <w:t>and monthly frequencies for the near month, next month and far month expiry dates. The returns</w:t>
      </w:r>
      <w:r>
        <w:rPr>
          <w:spacing w:val="1"/>
        </w:rPr>
        <w:t> </w:t>
      </w:r>
      <w:r>
        <w:rPr/>
        <w:t>were then adjusted for risk by deducting the T Bill rate for the same frequency to make it more</w:t>
      </w:r>
      <w:r>
        <w:rPr>
          <w:spacing w:val="1"/>
        </w:rPr>
        <w:t> </w:t>
      </w:r>
      <w:r>
        <w:rPr/>
        <w:t>realistic, and it shows the excess return gained over the risk-free return. Monthly frequency Far</w:t>
      </w:r>
      <w:r>
        <w:rPr>
          <w:spacing w:val="1"/>
        </w:rPr>
        <w:t> </w:t>
      </w:r>
      <w:r>
        <w:rPr/>
        <w:t>Month</w:t>
      </w:r>
      <w:r>
        <w:rPr>
          <w:spacing w:val="-1"/>
        </w:rPr>
        <w:t> </w:t>
      </w:r>
      <w:r>
        <w:rPr/>
        <w:t>Future</w:t>
      </w:r>
      <w:r>
        <w:rPr>
          <w:spacing w:val="-2"/>
        </w:rPr>
        <w:t> </w:t>
      </w:r>
      <w:r>
        <w:rPr/>
        <w:t>contracts</w:t>
      </w:r>
      <w:r>
        <w:rPr>
          <w:spacing w:val="2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the highest return</w:t>
      </w:r>
      <w:r>
        <w:rPr>
          <w:spacing w:val="-1"/>
        </w:rPr>
        <w:t> </w:t>
      </w:r>
      <w:r>
        <w:rPr/>
        <w:t>amongst both</w:t>
      </w:r>
      <w:r>
        <w:rPr>
          <w:spacing w:val="3"/>
        </w:rPr>
        <w:t> </w:t>
      </w:r>
      <w:r>
        <w:rPr/>
        <w:t>Equity</w:t>
      </w:r>
      <w:r>
        <w:rPr>
          <w:spacing w:val="-4"/>
        </w:rPr>
        <w:t> </w:t>
      </w:r>
      <w:r>
        <w:rPr/>
        <w:t>and futures.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31" w:right="451"/>
        <w:jc w:val="both"/>
      </w:pPr>
      <w:r>
        <w:rPr/>
        <w:t>Further, a comparison has been made between equity returns and futures returns. Then, the overall</w:t>
      </w:r>
      <w:r>
        <w:rPr>
          <w:spacing w:val="-57"/>
        </w:rPr>
        <w:t> </w:t>
      </w:r>
      <w:r>
        <w:rPr>
          <w:spacing w:val="-1"/>
        </w:rPr>
        <w:t>liquidity</w:t>
      </w:r>
      <w:r>
        <w:rPr>
          <w:spacing w:val="-17"/>
        </w:rPr>
        <w:t> </w:t>
      </w:r>
      <w:r>
        <w:rPr/>
        <w:t>position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Equity</w:t>
      </w:r>
      <w:r>
        <w:rPr>
          <w:spacing w:val="-15"/>
        </w:rPr>
        <w:t> </w:t>
      </w:r>
      <w:r>
        <w:rPr/>
        <w:t>and</w:t>
      </w:r>
      <w:r>
        <w:rPr>
          <w:spacing w:val="-10"/>
        </w:rPr>
        <w:t> </w:t>
      </w:r>
      <w:r>
        <w:rPr/>
        <w:t>futures</w:t>
      </w:r>
      <w:r>
        <w:rPr>
          <w:spacing w:val="-8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discussed.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note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Contango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Backwardation</w:t>
      </w:r>
      <w:r>
        <w:rPr>
          <w:spacing w:val="-57"/>
        </w:rPr>
        <w:t> </w:t>
      </w:r>
      <w:r>
        <w:rPr/>
        <w:t>has also been provided to analyse the difference between futures price and spot price. Thus, this</w:t>
      </w:r>
      <w:r>
        <w:rPr>
          <w:spacing w:val="1"/>
        </w:rPr>
        <w:t> </w:t>
      </w:r>
      <w:r>
        <w:rPr/>
        <w:t>report seeks to understand returns through various financial instruments, find their portfolio risk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suggest the</w:t>
      </w:r>
      <w:r>
        <w:rPr>
          <w:spacing w:val="-1"/>
        </w:rPr>
        <w:t> </w:t>
      </w:r>
      <w:r>
        <w:rPr/>
        <w:t>best investment strategy.</w:t>
      </w:r>
    </w:p>
    <w:p>
      <w:pPr>
        <w:spacing w:after="0" w:line="360" w:lineRule="auto"/>
        <w:jc w:val="both"/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87"/>
        <w:ind w:left="310"/>
        <w:rPr>
          <w:u w:val="none"/>
        </w:rPr>
      </w:pPr>
      <w:r>
        <w:rPr>
          <w:u w:val="thick"/>
        </w:rPr>
        <w:t>TABLE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572" w:val="right" w:leader="dot"/>
            </w:tabs>
            <w:spacing w:before="26"/>
            <w:rPr>
              <w:rFonts w:ascii="Arial MT"/>
              <w:b w:val="0"/>
            </w:rPr>
          </w:pPr>
          <w:hyperlink w:history="true" w:anchor="_bookmark0">
            <w:r>
              <w:rPr/>
              <w:t>ACKNOWLEDGEMENT</w:t>
              <w:tab/>
            </w:r>
            <w:r>
              <w:rPr>
                <w:rFonts w:ascii="Arial MT"/>
                <w:b w:val="0"/>
              </w:rPr>
              <w:t>2</w:t>
            </w:r>
          </w:hyperlink>
        </w:p>
        <w:p>
          <w:pPr>
            <w:pStyle w:val="TOC1"/>
            <w:tabs>
              <w:tab w:pos="9572" w:val="right" w:leader="dot"/>
            </w:tabs>
            <w:spacing w:before="140"/>
            <w:rPr>
              <w:rFonts w:ascii="Arial MT"/>
              <w:b w:val="0"/>
            </w:rPr>
          </w:pPr>
          <w:hyperlink w:history="true" w:anchor="_bookmark1">
            <w:r>
              <w:rPr/>
              <w:t>GROUP DETAILS</w:t>
              <w:tab/>
            </w:r>
            <w:r>
              <w:rPr>
                <w:rFonts w:ascii="Arial MT"/>
                <w:b w:val="0"/>
              </w:rPr>
              <w:t>3</w:t>
            </w:r>
          </w:hyperlink>
        </w:p>
        <w:p>
          <w:pPr>
            <w:pStyle w:val="TOC1"/>
            <w:tabs>
              <w:tab w:pos="9572" w:val="right" w:leader="dot"/>
            </w:tabs>
            <w:rPr>
              <w:rFonts w:ascii="Arial MT"/>
              <w:b w:val="0"/>
            </w:rPr>
          </w:pPr>
          <w:hyperlink w:history="true" w:anchor="_bookmark2">
            <w:r>
              <w:rPr/>
              <w:t>ABSTRACT</w:t>
              <w:tab/>
            </w:r>
            <w:r>
              <w:rPr>
                <w:rFonts w:ascii="Arial MT"/>
                <w:b w:val="0"/>
              </w:rPr>
              <w:t>4</w:t>
            </w:r>
          </w:hyperlink>
        </w:p>
        <w:p>
          <w:pPr>
            <w:pStyle w:val="TOC1"/>
            <w:tabs>
              <w:tab w:pos="9572" w:val="right" w:leader="dot"/>
            </w:tabs>
            <w:rPr>
              <w:rFonts w:ascii="Arial MT"/>
              <w:b w:val="0"/>
            </w:rPr>
          </w:pPr>
          <w:hyperlink w:history="true" w:anchor="_bookmark3">
            <w:r>
              <w:rPr/>
              <w:t>SECTION</w:t>
            </w:r>
            <w:r>
              <w:rPr>
                <w:spacing w:val="-1"/>
              </w:rPr>
              <w:t> </w:t>
            </w:r>
            <w:r>
              <w:rPr/>
              <w:t>-1</w:t>
              <w:tab/>
            </w:r>
            <w:r>
              <w:rPr>
                <w:rFonts w:ascii="Arial MT"/>
                <w:b w:val="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84" w:val="left" w:leader="none"/>
              <w:tab w:pos="9572" w:val="right" w:leader="dot"/>
            </w:tabs>
            <w:spacing w:line="240" w:lineRule="auto" w:before="140" w:after="0"/>
            <w:ind w:left="683" w:right="0" w:hanging="332"/>
            <w:jc w:val="left"/>
            <w:rPr>
              <w:rFonts w:ascii="Arial MT"/>
              <w:b w:val="0"/>
            </w:rPr>
          </w:pPr>
          <w:hyperlink w:history="true" w:anchor="_bookmark4">
            <w:r>
              <w:rPr/>
              <w:t>Introduction</w:t>
            </w:r>
            <w:r>
              <w:rPr>
                <w:spacing w:val="-1"/>
              </w:rPr>
              <w:t> </w:t>
            </w:r>
            <w:r>
              <w:rPr/>
              <w:t>To Underlying Equity Asset</w:t>
              <w:tab/>
            </w:r>
            <w:r>
              <w:rPr>
                <w:rFonts w:ascii="Arial MT"/>
                <w:b w:val="0"/>
              </w:rPr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68" w:val="left" w:leader="none"/>
              <w:tab w:pos="9572" w:val="right" w:leader="dot"/>
            </w:tabs>
            <w:spacing w:line="240" w:lineRule="auto" w:before="137" w:after="0"/>
            <w:ind w:left="1067" w:right="0" w:hanging="498"/>
            <w:jc w:val="left"/>
            <w:rPr>
              <w:rFonts w:ascii="Arial MT"/>
              <w:b w:val="0"/>
            </w:rPr>
          </w:pPr>
          <w:hyperlink w:history="true" w:anchor="_bookmark5">
            <w:r>
              <w:rPr/>
              <w:t>Nature</w:t>
            </w:r>
            <w:r>
              <w:rPr>
                <w:spacing w:val="-1"/>
              </w:rPr>
              <w:t> </w:t>
            </w:r>
            <w:r>
              <w:rPr/>
              <w:t>of Business</w:t>
              <w:tab/>
            </w:r>
            <w:r>
              <w:rPr>
                <w:rFonts w:ascii="Arial MT"/>
                <w:b w:val="0"/>
              </w:rPr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68" w:val="left" w:leader="none"/>
              <w:tab w:pos="9572" w:val="right" w:leader="dot"/>
            </w:tabs>
            <w:spacing w:line="240" w:lineRule="auto" w:before="138" w:after="0"/>
            <w:ind w:left="1067" w:right="0" w:hanging="498"/>
            <w:jc w:val="left"/>
            <w:rPr>
              <w:rFonts w:ascii="Arial MT"/>
              <w:b w:val="0"/>
            </w:rPr>
          </w:pPr>
          <w:hyperlink w:history="true" w:anchor="_bookmark6">
            <w:r>
              <w:rPr/>
              <w:t>Ownership</w:t>
              <w:tab/>
            </w:r>
            <w:r>
              <w:rPr>
                <w:rFonts w:ascii="Arial MT"/>
                <w:b w:val="0"/>
              </w:rPr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68" w:val="left" w:leader="none"/>
              <w:tab w:pos="9572" w:val="right" w:leader="dot"/>
            </w:tabs>
            <w:spacing w:line="240" w:lineRule="auto" w:before="137" w:after="0"/>
            <w:ind w:left="1067" w:right="0" w:hanging="498"/>
            <w:jc w:val="left"/>
            <w:rPr>
              <w:rFonts w:ascii="Arial MT"/>
              <w:b w:val="0"/>
            </w:rPr>
          </w:pPr>
          <w:hyperlink w:history="true" w:anchor="_bookmark7">
            <w:r>
              <w:rPr/>
              <w:t>Origin</w:t>
            </w:r>
            <w:r>
              <w:rPr>
                <w:spacing w:val="-1"/>
              </w:rPr>
              <w:t> </w:t>
            </w:r>
            <w:r>
              <w:rPr/>
              <w:t>of the Company</w:t>
              <w:tab/>
            </w:r>
            <w:r>
              <w:rPr>
                <w:rFonts w:ascii="Arial MT"/>
                <w:b w:val="0"/>
              </w:rPr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68" w:val="left" w:leader="none"/>
              <w:tab w:pos="9572" w:val="right" w:leader="dot"/>
            </w:tabs>
            <w:spacing w:line="240" w:lineRule="auto" w:before="140" w:after="0"/>
            <w:ind w:left="1067" w:right="0" w:hanging="498"/>
            <w:jc w:val="left"/>
            <w:rPr>
              <w:rFonts w:ascii="Arial MT"/>
              <w:b w:val="0"/>
            </w:rPr>
          </w:pPr>
          <w:hyperlink w:history="true" w:anchor="_bookmark8">
            <w:r>
              <w:rPr/>
              <w:t>Industrial</w:t>
            </w:r>
            <w:r>
              <w:rPr>
                <w:spacing w:val="-3"/>
              </w:rPr>
              <w:t> </w:t>
            </w:r>
            <w:r>
              <w:rPr/>
              <w:t>Significance</w:t>
              <w:tab/>
            </w:r>
            <w:r>
              <w:rPr>
                <w:rFonts w:ascii="Arial MT"/>
                <w:b w:val="0"/>
              </w:rPr>
              <w:t>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68" w:val="left" w:leader="none"/>
              <w:tab w:pos="9572" w:val="right" w:leader="dot"/>
            </w:tabs>
            <w:spacing w:line="240" w:lineRule="auto" w:before="137" w:after="0"/>
            <w:ind w:left="1067" w:right="0" w:hanging="498"/>
            <w:jc w:val="left"/>
            <w:rPr>
              <w:rFonts w:ascii="Arial MT"/>
              <w:b w:val="0"/>
            </w:rPr>
          </w:pPr>
          <w:hyperlink w:history="true" w:anchor="_bookmark9">
            <w:r>
              <w:rPr/>
              <w:t>Overall</w:t>
            </w:r>
            <w:r>
              <w:rPr>
                <w:spacing w:val="-3"/>
              </w:rPr>
              <w:t> </w:t>
            </w:r>
            <w:r>
              <w:rPr/>
              <w:t>greatness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CHOLAFIN</w:t>
              <w:tab/>
            </w:r>
            <w:r>
              <w:rPr>
                <w:rFonts w:ascii="Arial MT"/>
                <w:b w:val="0"/>
              </w:rPr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84" w:val="left" w:leader="none"/>
              <w:tab w:pos="9572" w:val="right" w:leader="dot"/>
            </w:tabs>
            <w:spacing w:line="240" w:lineRule="auto" w:before="138" w:after="0"/>
            <w:ind w:left="683" w:right="0" w:hanging="332"/>
            <w:jc w:val="left"/>
            <w:rPr>
              <w:rFonts w:ascii="Arial MT"/>
              <w:b w:val="0"/>
            </w:rPr>
          </w:pPr>
          <w:hyperlink w:history="true" w:anchor="_bookmark10">
            <w:r>
              <w:rPr/>
              <w:t>Unadjusted</w:t>
            </w:r>
            <w:r>
              <w:rPr>
                <w:spacing w:val="-1"/>
              </w:rPr>
              <w:t> </w:t>
            </w:r>
            <w:r>
              <w:rPr/>
              <w:t>Risk Returns</w:t>
            </w:r>
            <w:r>
              <w:rPr>
                <w:spacing w:val="-2"/>
              </w:rPr>
              <w:t> </w:t>
            </w:r>
            <w:r>
              <w:rPr/>
              <w:t>for Underlying Equity</w:t>
            </w:r>
            <w:r>
              <w:rPr>
                <w:spacing w:val="-4"/>
              </w:rPr>
              <w:t> </w:t>
            </w:r>
            <w:r>
              <w:rPr/>
              <w:t>Asset</w:t>
              <w:tab/>
            </w:r>
            <w:r>
              <w:rPr>
                <w:rFonts w:ascii="Arial MT"/>
                <w:b w:val="0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84" w:val="left" w:leader="none"/>
              <w:tab w:pos="9572" w:val="right" w:leader="dot"/>
            </w:tabs>
            <w:spacing w:line="240" w:lineRule="auto" w:before="139" w:after="0"/>
            <w:ind w:left="683" w:right="0" w:hanging="332"/>
            <w:jc w:val="left"/>
            <w:rPr>
              <w:rFonts w:ascii="Arial MT"/>
              <w:b w:val="0"/>
            </w:rPr>
          </w:pPr>
          <w:hyperlink w:history="true" w:anchor="_bookmark11">
            <w:r>
              <w:rPr/>
              <w:t>Risk-Adjusted</w:t>
            </w:r>
            <w:r>
              <w:rPr>
                <w:spacing w:val="-1"/>
              </w:rPr>
              <w:t> </w:t>
            </w:r>
            <w:r>
              <w:rPr/>
              <w:t>Returns</w:t>
            </w:r>
            <w:r>
              <w:rPr>
                <w:spacing w:val="-2"/>
              </w:rPr>
              <w:t> </w:t>
            </w:r>
            <w:r>
              <w:rPr/>
              <w:t>for Underlying Equity</w:t>
            </w:r>
            <w:r>
              <w:rPr>
                <w:spacing w:val="-1"/>
              </w:rPr>
              <w:t> </w:t>
            </w:r>
            <w:r>
              <w:rPr/>
              <w:t>Asset</w:t>
              <w:tab/>
            </w:r>
            <w:r>
              <w:rPr>
                <w:rFonts w:ascii="Arial MT"/>
                <w:b w:val="0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84" w:val="left" w:leader="none"/>
              <w:tab w:pos="9572" w:val="right" w:leader="dot"/>
            </w:tabs>
            <w:spacing w:line="240" w:lineRule="auto" w:before="138" w:after="0"/>
            <w:ind w:left="683" w:right="0" w:hanging="332"/>
            <w:jc w:val="left"/>
            <w:rPr>
              <w:rFonts w:ascii="Arial MT"/>
              <w:b w:val="0"/>
            </w:rPr>
          </w:pPr>
          <w:hyperlink w:history="true" w:anchor="_bookmark12">
            <w:r>
              <w:rPr/>
              <w:t>Economic</w:t>
            </w:r>
            <w:r>
              <w:rPr>
                <w:spacing w:val="-3"/>
              </w:rPr>
              <w:t> </w:t>
            </w:r>
            <w:r>
              <w:rPr/>
              <w:t>Interpretation</w:t>
              <w:tab/>
            </w:r>
            <w:r>
              <w:rPr>
                <w:rFonts w:ascii="Arial MT"/>
                <w:b w:val="0"/>
              </w:rPr>
              <w:t>14</w:t>
            </w:r>
          </w:hyperlink>
        </w:p>
        <w:p>
          <w:pPr>
            <w:pStyle w:val="TOC1"/>
            <w:tabs>
              <w:tab w:pos="9572" w:val="right" w:leader="dot"/>
            </w:tabs>
            <w:rPr>
              <w:rFonts w:ascii="Arial MT"/>
              <w:b w:val="0"/>
            </w:rPr>
          </w:pPr>
          <w:hyperlink w:history="true" w:anchor="_bookmark13">
            <w:r>
              <w:rPr/>
              <w:t>SECTION</w:t>
            </w:r>
            <w:r>
              <w:rPr>
                <w:spacing w:val="-1"/>
              </w:rPr>
              <w:t> </w:t>
            </w:r>
            <w:r>
              <w:rPr/>
              <w:t>- 2</w:t>
              <w:tab/>
            </w:r>
            <w:r>
              <w:rPr>
                <w:rFonts w:ascii="Arial MT"/>
                <w:b w:val="0"/>
              </w:rPr>
              <w:t>17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684" w:val="left" w:leader="none"/>
              <w:tab w:pos="9572" w:val="right" w:leader="dot"/>
            </w:tabs>
            <w:spacing w:line="240" w:lineRule="auto" w:before="139" w:after="0"/>
            <w:ind w:left="683" w:right="0" w:hanging="332"/>
            <w:jc w:val="left"/>
            <w:rPr>
              <w:rFonts w:ascii="Arial MT"/>
              <w:b w:val="0"/>
            </w:rPr>
          </w:pPr>
          <w:hyperlink w:history="true" w:anchor="_bookmark14">
            <w:r>
              <w:rPr/>
              <w:t>Introduction</w:t>
            </w:r>
            <w:r>
              <w:rPr>
                <w:spacing w:val="-1"/>
              </w:rPr>
              <w:t> </w:t>
            </w:r>
            <w:r>
              <w:rPr/>
              <w:t>To Equity Futures Instrument</w:t>
              <w:tab/>
            </w:r>
            <w:r>
              <w:rPr>
                <w:rFonts w:ascii="Arial MT"/>
                <w:b w:val="0"/>
              </w:rPr>
              <w:t>17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068" w:val="left" w:leader="none"/>
              <w:tab w:pos="9572" w:val="right" w:leader="dot"/>
            </w:tabs>
            <w:spacing w:line="240" w:lineRule="auto" w:before="138" w:after="0"/>
            <w:ind w:left="1067" w:right="0" w:hanging="498"/>
            <w:jc w:val="left"/>
            <w:rPr>
              <w:rFonts w:ascii="Arial MT"/>
              <w:b w:val="0"/>
            </w:rPr>
          </w:pPr>
          <w:hyperlink w:history="true" w:anchor="_bookmark15">
            <w:r>
              <w:rPr/>
              <w:t>Introduction</w:t>
              <w:tab/>
            </w:r>
            <w:r>
              <w:rPr>
                <w:rFonts w:ascii="Arial MT"/>
                <w:b w:val="0"/>
              </w:rPr>
              <w:t>17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068" w:val="left" w:leader="none"/>
              <w:tab w:pos="9572" w:val="right" w:leader="dot"/>
            </w:tabs>
            <w:spacing w:line="240" w:lineRule="auto" w:before="137" w:after="0"/>
            <w:ind w:left="1067" w:right="0" w:hanging="498"/>
            <w:jc w:val="left"/>
            <w:rPr>
              <w:rFonts w:ascii="Arial MT"/>
              <w:b w:val="0"/>
            </w:rPr>
          </w:pPr>
          <w:hyperlink w:history="true" w:anchor="_bookmark16">
            <w:r>
              <w:rPr/>
              <w:t>Overall</w:t>
            </w:r>
            <w:r>
              <w:rPr>
                <w:spacing w:val="-3"/>
              </w:rPr>
              <w:t> </w:t>
            </w:r>
            <w:r>
              <w:rPr/>
              <w:t>Greatness</w:t>
            </w:r>
            <w:r>
              <w:rPr>
                <w:spacing w:val="-2"/>
              </w:rPr>
              <w:t> </w:t>
            </w:r>
            <w:r>
              <w:rPr/>
              <w:t>of the Equity</w:t>
            </w:r>
            <w:r>
              <w:rPr>
                <w:spacing w:val="-3"/>
              </w:rPr>
              <w:t> </w:t>
            </w:r>
            <w:r>
              <w:rPr/>
              <w:t>Futures Instrument</w:t>
              <w:tab/>
            </w:r>
            <w:r>
              <w:rPr>
                <w:rFonts w:ascii="Arial MT"/>
                <w:b w:val="0"/>
              </w:rPr>
              <w:t>18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684" w:val="left" w:leader="none"/>
              <w:tab w:pos="9572" w:val="right" w:leader="dot"/>
            </w:tabs>
            <w:spacing w:line="240" w:lineRule="auto" w:before="138" w:after="0"/>
            <w:ind w:left="683" w:right="0" w:hanging="332"/>
            <w:jc w:val="left"/>
            <w:rPr>
              <w:rFonts w:ascii="Arial MT"/>
              <w:b w:val="0"/>
            </w:rPr>
          </w:pPr>
          <w:hyperlink w:history="true" w:anchor="_bookmark17">
            <w:r>
              <w:rPr/>
              <w:t>Unadjusted</w:t>
            </w:r>
            <w:r>
              <w:rPr>
                <w:spacing w:val="-1"/>
              </w:rPr>
              <w:t> </w:t>
            </w:r>
            <w:r>
              <w:rPr/>
              <w:t>Risk Returns</w:t>
            </w:r>
            <w:r>
              <w:rPr>
                <w:spacing w:val="-2"/>
              </w:rPr>
              <w:t> </w:t>
            </w:r>
            <w:r>
              <w:rPr/>
              <w:t>for Equity</w:t>
            </w:r>
            <w:r>
              <w:rPr>
                <w:spacing w:val="-3"/>
              </w:rPr>
              <w:t> </w:t>
            </w:r>
            <w:r>
              <w:rPr/>
              <w:t>Futures</w:t>
            </w:r>
            <w:r>
              <w:rPr>
                <w:spacing w:val="-3"/>
              </w:rPr>
              <w:t> </w:t>
            </w:r>
            <w:r>
              <w:rPr/>
              <w:t>Instrument</w:t>
              <w:tab/>
            </w:r>
            <w:r>
              <w:rPr>
                <w:rFonts w:ascii="Arial MT"/>
                <w:b w:val="0"/>
              </w:rPr>
              <w:t>19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08" w:val="left" w:leader="none"/>
              <w:tab w:pos="9572" w:val="right" w:leader="dot"/>
            </w:tabs>
            <w:spacing w:line="240" w:lineRule="auto" w:before="139" w:after="0"/>
            <w:ind w:left="707" w:right="0" w:hanging="330"/>
            <w:jc w:val="left"/>
            <w:rPr>
              <w:rFonts w:ascii="Arial MT"/>
              <w:b w:val="0"/>
            </w:rPr>
          </w:pPr>
          <w:hyperlink w:history="true" w:anchor="_bookmark18">
            <w:r>
              <w:rPr/>
              <w:t>Risk-Adjusted</w:t>
            </w:r>
            <w:r>
              <w:rPr>
                <w:spacing w:val="-1"/>
              </w:rPr>
              <w:t> </w:t>
            </w:r>
            <w:r>
              <w:rPr/>
              <w:t>Returns</w:t>
            </w:r>
            <w:r>
              <w:rPr>
                <w:spacing w:val="-2"/>
              </w:rPr>
              <w:t> </w:t>
            </w:r>
            <w:r>
              <w:rPr/>
              <w:t>for Equity</w:t>
            </w:r>
            <w:r>
              <w:rPr>
                <w:spacing w:val="-3"/>
              </w:rPr>
              <w:t> </w:t>
            </w:r>
            <w:r>
              <w:rPr/>
              <w:t>Futures</w:t>
            </w:r>
            <w:r>
              <w:rPr>
                <w:spacing w:val="-2"/>
              </w:rPr>
              <w:t> </w:t>
            </w:r>
            <w:r>
              <w:rPr/>
              <w:t>Instrument</w:t>
              <w:tab/>
            </w:r>
            <w:r>
              <w:rPr>
                <w:rFonts w:ascii="Arial MT"/>
                <w:b w:val="0"/>
              </w:rPr>
              <w:t>25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08" w:val="left" w:leader="none"/>
              <w:tab w:pos="9572" w:val="right" w:leader="dot"/>
            </w:tabs>
            <w:spacing w:line="240" w:lineRule="auto" w:before="138" w:after="0"/>
            <w:ind w:left="707" w:right="0" w:hanging="330"/>
            <w:jc w:val="left"/>
            <w:rPr>
              <w:rFonts w:ascii="Arial MT"/>
              <w:b w:val="0"/>
            </w:rPr>
          </w:pPr>
          <w:hyperlink w:history="true" w:anchor="_bookmark19">
            <w:r>
              <w:rPr/>
              <w:t>Risk-Adjusted</w:t>
            </w:r>
            <w:r>
              <w:rPr>
                <w:spacing w:val="-1"/>
              </w:rPr>
              <w:t> </w:t>
            </w:r>
            <w:r>
              <w:rPr/>
              <w:t>v/s</w:t>
            </w:r>
            <w:r>
              <w:rPr>
                <w:spacing w:val="-2"/>
              </w:rPr>
              <w:t> </w:t>
            </w:r>
            <w:r>
              <w:rPr/>
              <w:t>Unadjusted</w:t>
            </w:r>
            <w:r>
              <w:rPr>
                <w:spacing w:val="-1"/>
              </w:rPr>
              <w:t> </w:t>
            </w:r>
            <w:r>
              <w:rPr/>
              <w:t>Returns</w:t>
            </w:r>
            <w:r>
              <w:rPr>
                <w:spacing w:val="-1"/>
              </w:rPr>
              <w:t> </w:t>
            </w:r>
            <w:r>
              <w:rPr/>
              <w:t>for Equity</w:t>
            </w:r>
            <w:r>
              <w:rPr>
                <w:spacing w:val="-4"/>
              </w:rPr>
              <w:t> </w:t>
            </w:r>
            <w:r>
              <w:rPr/>
              <w:t>Futures Instrument</w:t>
              <w:tab/>
            </w:r>
            <w:r>
              <w:rPr>
                <w:rFonts w:ascii="Arial MT"/>
                <w:b w:val="0"/>
              </w:rPr>
              <w:t>31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08" w:val="left" w:leader="none"/>
              <w:tab w:pos="9572" w:val="right" w:leader="dot"/>
            </w:tabs>
            <w:spacing w:line="240" w:lineRule="auto" w:before="137" w:after="0"/>
            <w:ind w:left="707" w:right="0" w:hanging="330"/>
            <w:jc w:val="left"/>
            <w:rPr>
              <w:rFonts w:ascii="Arial MT"/>
              <w:b w:val="0"/>
            </w:rPr>
          </w:pPr>
          <w:hyperlink w:history="true" w:anchor="_bookmark20">
            <w:r>
              <w:rPr/>
              <w:t>Economic</w:t>
            </w:r>
            <w:r>
              <w:rPr>
                <w:spacing w:val="-1"/>
              </w:rPr>
              <w:t> </w:t>
            </w:r>
            <w:r>
              <w:rPr/>
              <w:t>Interpretation</w:t>
              <w:tab/>
            </w:r>
            <w:r>
              <w:rPr>
                <w:rFonts w:ascii="Arial MT"/>
                <w:b w:val="0"/>
              </w:rPr>
              <w:t>38</w:t>
            </w:r>
          </w:hyperlink>
        </w:p>
        <w:p>
          <w:pPr>
            <w:pStyle w:val="TOC1"/>
            <w:tabs>
              <w:tab w:pos="9572" w:val="right" w:leader="dot"/>
            </w:tabs>
            <w:spacing w:before="139"/>
            <w:rPr>
              <w:rFonts w:ascii="Arial MT"/>
              <w:b w:val="0"/>
            </w:rPr>
          </w:pPr>
          <w:hyperlink w:history="true" w:anchor="_bookmark21">
            <w:r>
              <w:rPr/>
              <w:t>SECTION</w:t>
            </w:r>
            <w:r>
              <w:rPr>
                <w:spacing w:val="-1"/>
              </w:rPr>
              <w:t> </w:t>
            </w:r>
            <w:r>
              <w:rPr/>
              <w:t>- 3</w:t>
              <w:tab/>
            </w:r>
            <w:r>
              <w:rPr>
                <w:rFonts w:ascii="Arial MT"/>
                <w:b w:val="0"/>
              </w:rPr>
              <w:t>39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684" w:val="left" w:leader="none"/>
              <w:tab w:pos="9572" w:val="right" w:leader="dot"/>
            </w:tabs>
            <w:spacing w:line="240" w:lineRule="auto" w:before="138" w:after="0"/>
            <w:ind w:left="683" w:right="0" w:hanging="332"/>
            <w:jc w:val="left"/>
            <w:rPr>
              <w:rFonts w:ascii="Arial MT"/>
              <w:b w:val="0"/>
            </w:rPr>
          </w:pPr>
          <w:hyperlink w:history="true" w:anchor="_bookmark22">
            <w:r>
              <w:rPr/>
              <w:t>Comparison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3"/>
              </w:rPr>
              <w:t> </w:t>
            </w:r>
            <w:r>
              <w:rPr/>
              <w:t>Unadjusted</w:t>
            </w:r>
            <w:r>
              <w:rPr>
                <w:spacing w:val="-3"/>
              </w:rPr>
              <w:t> </w:t>
            </w:r>
            <w:r>
              <w:rPr/>
              <w:t>&amp; Adjusted Returns</w:t>
              <w:tab/>
            </w:r>
            <w:r>
              <w:rPr>
                <w:rFonts w:ascii="Arial MT"/>
                <w:b w:val="0"/>
              </w:rPr>
              <w:t>39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684" w:val="left" w:leader="none"/>
              <w:tab w:pos="9572" w:val="right" w:leader="dot"/>
            </w:tabs>
            <w:spacing w:line="240" w:lineRule="auto" w:before="137" w:after="0"/>
            <w:ind w:left="683" w:right="0" w:hanging="332"/>
            <w:jc w:val="left"/>
            <w:rPr>
              <w:rFonts w:ascii="Arial MT"/>
              <w:b w:val="0"/>
            </w:rPr>
          </w:pPr>
          <w:hyperlink w:history="true" w:anchor="_bookmark23">
            <w:r>
              <w:rPr/>
              <w:t>Liquidity</w:t>
            </w:r>
            <w:r>
              <w:rPr>
                <w:spacing w:val="-4"/>
              </w:rPr>
              <w:t> </w:t>
            </w:r>
            <w:r>
              <w:rPr/>
              <w:t>Position</w:t>
              <w:tab/>
            </w:r>
            <w:r>
              <w:rPr>
                <w:rFonts w:ascii="Arial MT"/>
                <w:b w:val="0"/>
              </w:rPr>
              <w:t>41</w:t>
            </w:r>
          </w:hyperlink>
        </w:p>
        <w:p>
          <w:pPr>
            <w:pStyle w:val="TOC1"/>
            <w:tabs>
              <w:tab w:pos="9572" w:val="right" w:leader="dot"/>
            </w:tabs>
            <w:rPr>
              <w:rFonts w:ascii="Arial MT"/>
              <w:b w:val="0"/>
            </w:rPr>
          </w:pPr>
          <w:hyperlink w:history="true" w:anchor="_bookmark24">
            <w:r>
              <w:rPr/>
              <w:t>SECTION</w:t>
            </w:r>
            <w:r>
              <w:rPr>
                <w:spacing w:val="-1"/>
              </w:rPr>
              <w:t> </w:t>
            </w:r>
            <w:r>
              <w:rPr/>
              <w:t>- 4</w:t>
              <w:tab/>
            </w:r>
            <w:r>
              <w:rPr>
                <w:rFonts w:ascii="Arial MT"/>
                <w:b w:val="0"/>
              </w:rPr>
              <w:t>42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684" w:val="left" w:leader="none"/>
              <w:tab w:pos="9572" w:val="right" w:leader="dot"/>
            </w:tabs>
            <w:spacing w:line="240" w:lineRule="auto" w:before="140" w:after="0"/>
            <w:ind w:left="683" w:right="0" w:hanging="332"/>
            <w:jc w:val="left"/>
            <w:rPr>
              <w:rFonts w:ascii="Arial MT"/>
              <w:b w:val="0"/>
            </w:rPr>
          </w:pPr>
          <w:hyperlink w:history="true" w:anchor="_bookmark25">
            <w:r>
              <w:rPr/>
              <w:t>Contango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Backwardation</w:t>
              <w:tab/>
            </w:r>
            <w:r>
              <w:rPr>
                <w:rFonts w:ascii="Arial MT"/>
                <w:b w:val="0"/>
              </w:rPr>
              <w:t>42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684" w:val="left" w:leader="none"/>
              <w:tab w:pos="9572" w:val="right" w:leader="dot"/>
            </w:tabs>
            <w:spacing w:line="240" w:lineRule="auto" w:before="138" w:after="0"/>
            <w:ind w:left="683" w:right="0" w:hanging="332"/>
            <w:jc w:val="left"/>
            <w:rPr>
              <w:rFonts w:ascii="Arial MT"/>
              <w:b w:val="0"/>
            </w:rPr>
          </w:pPr>
          <w:hyperlink w:history="true" w:anchor="_bookmark26">
            <w:r>
              <w:rPr/>
              <w:t>Significance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Frequency</w:t>
              <w:tab/>
            </w:r>
            <w:r>
              <w:rPr>
                <w:rFonts w:ascii="Arial MT"/>
                <w:b w:val="0"/>
              </w:rPr>
              <w:t>44</w:t>
            </w:r>
          </w:hyperlink>
        </w:p>
        <w:p>
          <w:pPr>
            <w:pStyle w:val="TOC1"/>
            <w:tabs>
              <w:tab w:pos="9572" w:val="right" w:leader="dot"/>
            </w:tabs>
            <w:rPr>
              <w:rFonts w:ascii="Arial MT"/>
              <w:b w:val="0"/>
            </w:rPr>
          </w:pPr>
          <w:hyperlink w:history="true" w:anchor="_bookmark27">
            <w:r>
              <w:rPr/>
              <w:t>SECTION</w:t>
            </w:r>
            <w:r>
              <w:rPr>
                <w:spacing w:val="-1"/>
              </w:rPr>
              <w:t> </w:t>
            </w:r>
            <w:r>
              <w:rPr/>
              <w:t>- 5</w:t>
              <w:tab/>
            </w:r>
            <w:r>
              <w:rPr>
                <w:rFonts w:ascii="Arial MT"/>
                <w:b w:val="0"/>
              </w:rPr>
              <w:t>45</w:t>
            </w:r>
          </w:hyperlink>
        </w:p>
        <w:p>
          <w:pPr>
            <w:pStyle w:val="TOC2"/>
            <w:tabs>
              <w:tab w:pos="9572" w:val="right" w:leader="dot"/>
            </w:tabs>
            <w:spacing w:before="140"/>
            <w:ind w:left="352" w:firstLine="0"/>
            <w:rPr>
              <w:rFonts w:ascii="Arial MT"/>
              <w:b w:val="0"/>
            </w:rPr>
          </w:pPr>
          <w:hyperlink w:history="true" w:anchor="_bookmark28">
            <w:r>
              <w:rPr/>
              <w:t>5.1 Conclusion</w:t>
              <w:tab/>
            </w:r>
            <w:r>
              <w:rPr>
                <w:rFonts w:ascii="Arial MT"/>
                <w:b w:val="0"/>
              </w:rPr>
              <w:t>45</w:t>
            </w:r>
          </w:hyperlink>
        </w:p>
        <w:p>
          <w:pPr>
            <w:pStyle w:val="TOC1"/>
            <w:tabs>
              <w:tab w:pos="9572" w:val="right" w:leader="dot"/>
            </w:tabs>
            <w:rPr>
              <w:rFonts w:ascii="Arial MT"/>
              <w:b w:val="0"/>
            </w:rPr>
          </w:pPr>
          <w:hyperlink w:history="true" w:anchor="_bookmark29">
            <w:r>
              <w:rPr/>
              <w:t>SECTION</w:t>
            </w:r>
            <w:r>
              <w:rPr>
                <w:spacing w:val="-1"/>
              </w:rPr>
              <w:t> </w:t>
            </w:r>
            <w:r>
              <w:rPr/>
              <w:t>6</w:t>
              <w:tab/>
            </w:r>
            <w:r>
              <w:rPr>
                <w:rFonts w:ascii="Arial MT"/>
                <w:b w:val="0"/>
              </w:rPr>
              <w:t>46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684" w:val="left" w:leader="none"/>
              <w:tab w:pos="9572" w:val="right" w:leader="dot"/>
            </w:tabs>
            <w:spacing w:line="240" w:lineRule="auto" w:before="137" w:after="0"/>
            <w:ind w:left="683" w:right="0" w:hanging="332"/>
            <w:jc w:val="left"/>
            <w:rPr>
              <w:rFonts w:ascii="Arial MT"/>
              <w:b w:val="0"/>
            </w:rPr>
          </w:pPr>
          <w:hyperlink w:history="true" w:anchor="_bookmark30">
            <w:r>
              <w:rPr/>
              <w:t>References</w:t>
              <w:tab/>
            </w:r>
            <w:r>
              <w:rPr>
                <w:rFonts w:ascii="Arial MT"/>
                <w:b w:val="0"/>
              </w:rPr>
              <w:t>46</w:t>
            </w:r>
          </w:hyperlink>
        </w:p>
      </w:sdtContent>
    </w:sdt>
    <w:p>
      <w:pPr>
        <w:spacing w:after="0" w:line="240" w:lineRule="auto"/>
        <w:jc w:val="left"/>
        <w:rPr>
          <w:rFonts w:ascii="Arial MT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6" w:lineRule="auto" w:before="82"/>
        <w:ind w:left="1730" w:right="542" w:hanging="1496"/>
        <w:jc w:val="left"/>
        <w:rPr>
          <w:sz w:val="52"/>
        </w:rPr>
      </w:pPr>
      <w:r>
        <w:rPr>
          <w:sz w:val="52"/>
        </w:rPr>
        <w:t>CHOLAMANDALAM INVESTMENT and</w:t>
      </w:r>
      <w:r>
        <w:rPr>
          <w:spacing w:val="-127"/>
          <w:sz w:val="52"/>
        </w:rPr>
        <w:t> </w:t>
      </w:r>
      <w:r>
        <w:rPr>
          <w:sz w:val="52"/>
        </w:rPr>
        <w:t>FINANCE</w:t>
      </w:r>
      <w:r>
        <w:rPr>
          <w:spacing w:val="-2"/>
          <w:sz w:val="52"/>
        </w:rPr>
        <w:t> </w:t>
      </w:r>
      <w:r>
        <w:rPr>
          <w:sz w:val="52"/>
        </w:rPr>
        <w:t>COMPANY LTD.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1955292</wp:posOffset>
            </wp:positionH>
            <wp:positionV relativeFrom="paragraph">
              <wp:posOffset>178087</wp:posOffset>
            </wp:positionV>
            <wp:extent cx="3511132" cy="132245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132" cy="132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rect style="position:absolute;margin-left:67.550003pt;margin-top:10.021839pt;width:472.55pt;height:1.45pt;mso-position-horizontal-relative:page;mso-position-vertical-relative:paragraph;z-index:-15727616;mso-wrap-distance-left:0;mso-wrap-distance-right:0" filled="true" fillcolor="#c0504d" stroked="false">
            <v:fill type="solid"/>
            <w10:wrap type="topAndBottom"/>
          </v:rect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Heading4"/>
        <w:ind w:left="131"/>
        <w:jc w:val="left"/>
      </w:pPr>
      <w:r>
        <w:rPr/>
        <w:t>Note:</w:t>
      </w:r>
    </w:p>
    <w:p>
      <w:pPr>
        <w:pStyle w:val="BodyText"/>
        <w:spacing w:before="8"/>
        <w:rPr>
          <w:b/>
        </w:rPr>
      </w:pPr>
    </w:p>
    <w:p>
      <w:pPr>
        <w:pStyle w:val="ListParagraph"/>
        <w:numPr>
          <w:ilvl w:val="2"/>
          <w:numId w:val="5"/>
        </w:numPr>
        <w:tabs>
          <w:tab w:pos="1571" w:val="left" w:leader="none"/>
          <w:tab w:pos="1572" w:val="left" w:leader="none"/>
        </w:tabs>
        <w:spacing w:line="240" w:lineRule="auto" w:before="90" w:after="0"/>
        <w:ind w:left="1571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prices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in Indian National</w:t>
      </w:r>
      <w:r>
        <w:rPr>
          <w:spacing w:val="-1"/>
          <w:sz w:val="24"/>
        </w:rPr>
        <w:t> </w:t>
      </w:r>
      <w:r>
        <w:rPr>
          <w:sz w:val="24"/>
        </w:rPr>
        <w:t>Rupee (INR).</w:t>
      </w:r>
    </w:p>
    <w:p>
      <w:pPr>
        <w:pStyle w:val="ListParagraph"/>
        <w:numPr>
          <w:ilvl w:val="2"/>
          <w:numId w:val="5"/>
        </w:numPr>
        <w:tabs>
          <w:tab w:pos="1571" w:val="left" w:leader="none"/>
          <w:tab w:pos="1572" w:val="left" w:leader="none"/>
        </w:tabs>
        <w:spacing w:line="360" w:lineRule="auto" w:before="137" w:after="0"/>
        <w:ind w:left="1571" w:right="46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terminology</w:t>
      </w:r>
      <w:r>
        <w:rPr>
          <w:spacing w:val="14"/>
          <w:sz w:val="24"/>
        </w:rPr>
        <w:t> </w:t>
      </w:r>
      <w:r>
        <w:rPr>
          <w:sz w:val="24"/>
        </w:rPr>
        <w:t>used:</w:t>
      </w:r>
      <w:r>
        <w:rPr>
          <w:spacing w:val="18"/>
          <w:sz w:val="24"/>
        </w:rPr>
        <w:t> </w:t>
      </w:r>
      <w:r>
        <w:rPr>
          <w:sz w:val="24"/>
        </w:rPr>
        <w:t>Current</w:t>
      </w:r>
      <w:r>
        <w:rPr>
          <w:spacing w:val="19"/>
          <w:sz w:val="24"/>
        </w:rPr>
        <w:t> </w:t>
      </w:r>
      <w:r>
        <w:rPr>
          <w:sz w:val="24"/>
        </w:rPr>
        <w:t>month</w:t>
      </w:r>
      <w:r>
        <w:rPr>
          <w:spacing w:val="18"/>
          <w:sz w:val="24"/>
        </w:rPr>
        <w:t> </w:t>
      </w:r>
      <w:r>
        <w:rPr>
          <w:sz w:val="24"/>
        </w:rPr>
        <w:t>is</w:t>
      </w:r>
      <w:r>
        <w:rPr>
          <w:spacing w:val="18"/>
          <w:sz w:val="24"/>
        </w:rPr>
        <w:t> </w:t>
      </w:r>
      <w:r>
        <w:rPr>
          <w:sz w:val="24"/>
        </w:rPr>
        <w:t>written</w:t>
      </w:r>
      <w:r>
        <w:rPr>
          <w:spacing w:val="20"/>
          <w:sz w:val="24"/>
        </w:rPr>
        <w:t> </w:t>
      </w:r>
      <w:r>
        <w:rPr>
          <w:sz w:val="24"/>
        </w:rPr>
        <w:t>as</w:t>
      </w:r>
      <w:r>
        <w:rPr>
          <w:spacing w:val="19"/>
          <w:sz w:val="24"/>
        </w:rPr>
        <w:t> </w:t>
      </w:r>
      <w:r>
        <w:rPr>
          <w:sz w:val="24"/>
        </w:rPr>
        <w:t>Near</w:t>
      </w:r>
      <w:r>
        <w:rPr>
          <w:spacing w:val="19"/>
          <w:sz w:val="24"/>
        </w:rPr>
        <w:t> </w:t>
      </w:r>
      <w:r>
        <w:rPr>
          <w:sz w:val="24"/>
        </w:rPr>
        <w:t>month;</w:t>
      </w:r>
      <w:r>
        <w:rPr>
          <w:spacing w:val="19"/>
          <w:sz w:val="24"/>
        </w:rPr>
        <w:t> </w:t>
      </w:r>
      <w:r>
        <w:rPr>
          <w:sz w:val="24"/>
        </w:rPr>
        <w:t>Middle</w:t>
      </w:r>
      <w:r>
        <w:rPr>
          <w:spacing w:val="18"/>
          <w:sz w:val="24"/>
        </w:rPr>
        <w:t> </w:t>
      </w:r>
      <w:r>
        <w:rPr>
          <w:sz w:val="24"/>
        </w:rPr>
        <w:t>month</w:t>
      </w:r>
      <w:r>
        <w:rPr>
          <w:spacing w:val="17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written</w:t>
      </w:r>
      <w:r>
        <w:rPr>
          <w:spacing w:val="-1"/>
          <w:sz w:val="24"/>
        </w:rPr>
        <w:t> </w:t>
      </w:r>
      <w:r>
        <w:rPr>
          <w:sz w:val="24"/>
        </w:rPr>
        <w:t>as Next month.</w:t>
      </w:r>
    </w:p>
    <w:p>
      <w:pPr>
        <w:pStyle w:val="ListParagraph"/>
        <w:numPr>
          <w:ilvl w:val="2"/>
          <w:numId w:val="5"/>
        </w:numPr>
        <w:tabs>
          <w:tab w:pos="1571" w:val="left" w:leader="none"/>
          <w:tab w:pos="1572" w:val="left" w:leader="none"/>
        </w:tabs>
        <w:spacing w:line="240" w:lineRule="auto" w:before="0" w:after="0"/>
        <w:ind w:left="1571" w:right="0" w:hanging="361"/>
        <w:jc w:val="left"/>
        <w:rPr>
          <w:sz w:val="24"/>
        </w:rPr>
      </w:pP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references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cited</w:t>
      </w:r>
      <w:r>
        <w:rPr>
          <w:spacing w:val="-1"/>
          <w:sz w:val="24"/>
        </w:rPr>
        <w:t> </w:t>
      </w:r>
      <w:r>
        <w:rPr>
          <w:sz w:val="24"/>
        </w:rPr>
        <w:t>wherever</w:t>
      </w:r>
      <w:r>
        <w:rPr>
          <w:spacing w:val="3"/>
          <w:sz w:val="24"/>
        </w:rPr>
        <w:t> </w:t>
      </w:r>
      <w:r>
        <w:rPr>
          <w:sz w:val="24"/>
        </w:rPr>
        <w:t>necessary.</w:t>
      </w:r>
    </w:p>
    <w:p>
      <w:pPr>
        <w:pStyle w:val="ListParagraph"/>
        <w:numPr>
          <w:ilvl w:val="2"/>
          <w:numId w:val="5"/>
        </w:numPr>
        <w:tabs>
          <w:tab w:pos="1571" w:val="left" w:leader="none"/>
          <w:tab w:pos="1572" w:val="left" w:leader="none"/>
        </w:tabs>
        <w:spacing w:line="240" w:lineRule="auto" w:before="138" w:after="0"/>
        <w:ind w:left="15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(unadjusted/adjusted)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expressed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terms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percentage.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84"/>
        <w:ind w:left="1520" w:right="1849"/>
        <w:rPr>
          <w:u w:val="none"/>
        </w:rPr>
      </w:pPr>
      <w:bookmarkStart w:name="_bookmark3" w:id="4"/>
      <w:bookmarkEnd w:id="4"/>
      <w:r>
        <w:rPr>
          <w:b w:val="0"/>
          <w:u w:val="none"/>
        </w:rPr>
      </w: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-1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</w:rPr>
      </w:pPr>
    </w:p>
    <w:p>
      <w:pPr>
        <w:pStyle w:val="Heading3"/>
        <w:numPr>
          <w:ilvl w:val="1"/>
          <w:numId w:val="6"/>
        </w:numPr>
        <w:tabs>
          <w:tab w:pos="552" w:val="left" w:leader="none"/>
        </w:tabs>
        <w:spacing w:line="240" w:lineRule="auto" w:before="89" w:after="0"/>
        <w:ind w:left="551" w:right="0" w:hanging="421"/>
        <w:jc w:val="both"/>
      </w:pPr>
      <w:bookmarkStart w:name="_bookmark4" w:id="5"/>
      <w:bookmarkEnd w:id="5"/>
      <w:r>
        <w:rPr>
          <w:b w:val="0"/>
        </w:rPr>
      </w:r>
      <w:bookmarkStart w:name="_bookmark4" w:id="6"/>
      <w:bookmarkEnd w:id="6"/>
      <w:r>
        <w:rPr/>
        <w:t>I</w:t>
      </w:r>
      <w:r>
        <w:rPr/>
        <w:t>ntroduction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Underlying</w:t>
      </w:r>
      <w:r>
        <w:rPr>
          <w:spacing w:val="-2"/>
        </w:rPr>
        <w:t> </w:t>
      </w:r>
      <w:r>
        <w:rPr/>
        <w:t>Equity</w:t>
      </w:r>
      <w:r>
        <w:rPr>
          <w:spacing w:val="-2"/>
        </w:rPr>
        <w:t> </w:t>
      </w:r>
      <w:r>
        <w:rPr/>
        <w:t>Asset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Heading3"/>
        <w:numPr>
          <w:ilvl w:val="2"/>
          <w:numId w:val="6"/>
        </w:numPr>
        <w:tabs>
          <w:tab w:pos="763" w:val="left" w:leader="none"/>
        </w:tabs>
        <w:spacing w:line="240" w:lineRule="auto" w:before="0" w:after="0"/>
        <w:ind w:left="762" w:right="0" w:hanging="632"/>
        <w:jc w:val="both"/>
      </w:pPr>
      <w:bookmarkStart w:name="_bookmark5" w:id="7"/>
      <w:bookmarkEnd w:id="7"/>
      <w:r>
        <w:rPr>
          <w:b w:val="0"/>
        </w:rPr>
      </w:r>
      <w:bookmarkStart w:name="_bookmark5" w:id="8"/>
      <w:bookmarkEnd w:id="8"/>
      <w:r>
        <w:rPr/>
        <w:t>N</w:t>
      </w:r>
      <w:r>
        <w:rPr/>
        <w:t>ature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Business</w:t>
      </w:r>
    </w:p>
    <w:p>
      <w:pPr>
        <w:pStyle w:val="BodyText"/>
        <w:spacing w:line="360" w:lineRule="auto" w:before="126"/>
        <w:ind w:left="131" w:right="463"/>
        <w:jc w:val="both"/>
      </w:pPr>
      <w:r>
        <w:rPr/>
        <w:t>Cholamandalam Investment and Finance Company Ltd (CIFLC) is an investment banking and</w:t>
      </w:r>
      <w:r>
        <w:rPr>
          <w:spacing w:val="1"/>
        </w:rPr>
        <w:t> </w:t>
      </w:r>
      <w:r>
        <w:rPr/>
        <w:t>financial services firm operating with verticals across finance, IB, insurance, mortgages, and</w:t>
      </w:r>
      <w:r>
        <w:rPr>
          <w:spacing w:val="1"/>
        </w:rPr>
        <w:t> </w:t>
      </w:r>
      <w:r>
        <w:rPr/>
        <w:t>stockbroking.</w:t>
      </w:r>
    </w:p>
    <w:p>
      <w:pPr>
        <w:pStyle w:val="BodyText"/>
        <w:spacing w:before="2"/>
        <w:rPr>
          <w:sz w:val="28"/>
        </w:rPr>
      </w:pPr>
    </w:p>
    <w:p>
      <w:pPr>
        <w:pStyle w:val="Heading3"/>
        <w:numPr>
          <w:ilvl w:val="2"/>
          <w:numId w:val="6"/>
        </w:numPr>
        <w:tabs>
          <w:tab w:pos="763" w:val="left" w:leader="none"/>
        </w:tabs>
        <w:spacing w:line="240" w:lineRule="auto" w:before="0" w:after="0"/>
        <w:ind w:left="762" w:right="0" w:hanging="632"/>
        <w:jc w:val="both"/>
      </w:pPr>
      <w:bookmarkStart w:name="_bookmark6" w:id="9"/>
      <w:bookmarkEnd w:id="9"/>
      <w:r>
        <w:rPr>
          <w:b w:val="0"/>
        </w:rPr>
      </w:r>
      <w:bookmarkStart w:name="_bookmark6" w:id="10"/>
      <w:bookmarkEnd w:id="10"/>
      <w:r>
        <w:rPr/>
        <w:t>O</w:t>
      </w:r>
      <w:r>
        <w:rPr/>
        <w:t>wnership</w:t>
      </w:r>
    </w:p>
    <w:p>
      <w:pPr>
        <w:pStyle w:val="BodyText"/>
        <w:spacing w:line="360" w:lineRule="auto" w:before="124"/>
        <w:ind w:left="131" w:right="456"/>
        <w:jc w:val="both"/>
      </w:pPr>
      <w:r>
        <w:rPr/>
        <w:t>Cholamandalam investment and finance company ltd. (NSE: CHOLAFIN) is a publicly traded</w:t>
      </w:r>
      <w:r>
        <w:rPr>
          <w:spacing w:val="1"/>
        </w:rPr>
        <w:t> </w:t>
      </w:r>
      <w:r>
        <w:rPr/>
        <w:t>company with 7000+ plus employees; it has a presence all over the nation. Mr Arun Alagappan</w:t>
      </w:r>
      <w:r>
        <w:rPr>
          <w:spacing w:val="1"/>
        </w:rPr>
        <w:t> </w:t>
      </w:r>
      <w:r>
        <w:rPr/>
        <w:t>heads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company</w:t>
      </w:r>
      <w:r>
        <w:rPr>
          <w:spacing w:val="-3"/>
        </w:rPr>
        <w:t> </w:t>
      </w:r>
      <w:r>
        <w:rPr/>
        <w:t>as the</w:t>
      </w:r>
      <w:r>
        <w:rPr>
          <w:spacing w:val="1"/>
        </w:rPr>
        <w:t> </w:t>
      </w:r>
      <w:r>
        <w:rPr/>
        <w:t>managing</w:t>
      </w:r>
      <w:r>
        <w:rPr>
          <w:spacing w:val="-2"/>
        </w:rPr>
        <w:t> </w:t>
      </w:r>
      <w:r>
        <w:rPr/>
        <w:t>director of</w:t>
      </w:r>
      <w:r>
        <w:rPr>
          <w:spacing w:val="-1"/>
        </w:rPr>
        <w:t> </w:t>
      </w:r>
      <w:r>
        <w:rPr/>
        <w:t>the Murugappa</w:t>
      </w:r>
      <w:r>
        <w:rPr>
          <w:spacing w:val="1"/>
        </w:rPr>
        <w:t> </w:t>
      </w:r>
      <w:r>
        <w:rPr/>
        <w:t>group.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9"/>
        <w:gridCol w:w="3152"/>
      </w:tblGrid>
      <w:tr>
        <w:trPr>
          <w:trHeight w:val="500" w:hRule="atLeast"/>
        </w:trPr>
        <w:tc>
          <w:tcPr>
            <w:tcW w:w="3152" w:type="dxa"/>
            <w:shd w:val="clear" w:color="auto" w:fill="FF9900"/>
          </w:tcPr>
          <w:p>
            <w:pPr>
              <w:pStyle w:val="TableParagraph"/>
              <w:spacing w:before="100"/>
              <w:ind w:left="73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Holder’s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3149" w:type="dxa"/>
            <w:shd w:val="clear" w:color="auto" w:fill="FF9900"/>
          </w:tcPr>
          <w:p>
            <w:pPr>
              <w:pStyle w:val="TableParagraph"/>
              <w:spacing w:before="100"/>
              <w:ind w:left="812" w:right="799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Shares</w:t>
            </w:r>
          </w:p>
        </w:tc>
        <w:tc>
          <w:tcPr>
            <w:tcW w:w="3152" w:type="dxa"/>
            <w:shd w:val="clear" w:color="auto" w:fill="FF9900"/>
          </w:tcPr>
          <w:p>
            <w:pPr>
              <w:pStyle w:val="TableParagraph"/>
              <w:spacing w:before="100"/>
              <w:ind w:left="584" w:right="574"/>
              <w:rPr>
                <w:b/>
                <w:sz w:val="26"/>
              </w:rPr>
            </w:pPr>
            <w:r>
              <w:rPr>
                <w:b/>
                <w:sz w:val="26"/>
              </w:rPr>
              <w:t>%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Share Holding</w:t>
            </w:r>
          </w:p>
        </w:tc>
      </w:tr>
      <w:tr>
        <w:trPr>
          <w:trHeight w:val="498" w:hRule="atLeast"/>
        </w:trPr>
        <w:tc>
          <w:tcPr>
            <w:tcW w:w="3152" w:type="dxa"/>
            <w:shd w:val="clear" w:color="auto" w:fill="F3F3F3"/>
          </w:tcPr>
          <w:p>
            <w:pPr>
              <w:pStyle w:val="TableParagraph"/>
              <w:spacing w:before="100"/>
              <w:ind w:left="832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Shares</w:t>
            </w:r>
          </w:p>
        </w:tc>
        <w:tc>
          <w:tcPr>
            <w:tcW w:w="3149" w:type="dxa"/>
            <w:shd w:val="clear" w:color="auto" w:fill="F3F3F3"/>
          </w:tcPr>
          <w:p>
            <w:pPr>
              <w:pStyle w:val="TableParagraph"/>
              <w:ind w:left="812" w:right="797"/>
              <w:rPr>
                <w:sz w:val="26"/>
              </w:rPr>
            </w:pPr>
            <w:r>
              <w:rPr>
                <w:sz w:val="26"/>
              </w:rPr>
              <w:t>820035129</w:t>
            </w:r>
          </w:p>
        </w:tc>
        <w:tc>
          <w:tcPr>
            <w:tcW w:w="3152" w:type="dxa"/>
            <w:shd w:val="clear" w:color="auto" w:fill="F3F3F3"/>
          </w:tcPr>
          <w:p>
            <w:pPr>
              <w:pStyle w:val="TableParagraph"/>
              <w:ind w:left="584" w:right="574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</w:tr>
      <w:tr>
        <w:trPr>
          <w:trHeight w:val="661" w:hRule="atLeast"/>
        </w:trPr>
        <w:tc>
          <w:tcPr>
            <w:tcW w:w="3152" w:type="dxa"/>
            <w:shd w:val="clear" w:color="auto" w:fill="F3F3F3"/>
          </w:tcPr>
          <w:p>
            <w:pPr>
              <w:pStyle w:val="TableParagraph"/>
              <w:spacing w:before="100"/>
              <w:ind w:left="988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Promoters</w:t>
            </w:r>
          </w:p>
        </w:tc>
        <w:tc>
          <w:tcPr>
            <w:tcW w:w="3149" w:type="dxa"/>
            <w:shd w:val="clear" w:color="auto" w:fill="F3F3F3"/>
          </w:tcPr>
          <w:p>
            <w:pPr>
              <w:pStyle w:val="TableParagraph"/>
              <w:ind w:left="800" w:right="799"/>
              <w:rPr>
                <w:sz w:val="26"/>
              </w:rPr>
            </w:pPr>
            <w:r>
              <w:rPr>
                <w:sz w:val="26"/>
              </w:rPr>
              <w:t>423285058</w:t>
            </w:r>
          </w:p>
        </w:tc>
        <w:tc>
          <w:tcPr>
            <w:tcW w:w="3152" w:type="dxa"/>
            <w:shd w:val="clear" w:color="auto" w:fill="F3F3F3"/>
          </w:tcPr>
          <w:p>
            <w:pPr>
              <w:pStyle w:val="TableParagraph"/>
              <w:ind w:left="582" w:right="574"/>
              <w:rPr>
                <w:sz w:val="26"/>
              </w:rPr>
            </w:pPr>
            <w:r>
              <w:rPr>
                <w:sz w:val="26"/>
              </w:rPr>
              <w:t>51.62%</w:t>
            </w:r>
          </w:p>
        </w:tc>
      </w:tr>
      <w:tr>
        <w:trPr>
          <w:trHeight w:val="500" w:hRule="atLeast"/>
        </w:trPr>
        <w:tc>
          <w:tcPr>
            <w:tcW w:w="3152" w:type="dxa"/>
            <w:shd w:val="clear" w:color="auto" w:fill="F3F3F3"/>
          </w:tcPr>
          <w:p>
            <w:pPr>
              <w:pStyle w:val="TableParagraph"/>
              <w:spacing w:before="100"/>
              <w:ind w:left="32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Foreign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Institutions</w:t>
            </w:r>
          </w:p>
        </w:tc>
        <w:tc>
          <w:tcPr>
            <w:tcW w:w="3149" w:type="dxa"/>
            <w:shd w:val="clear" w:color="auto" w:fill="F3F3F3"/>
          </w:tcPr>
          <w:p>
            <w:pPr>
              <w:pStyle w:val="TableParagraph"/>
              <w:ind w:left="800" w:right="799"/>
              <w:rPr>
                <w:sz w:val="26"/>
              </w:rPr>
            </w:pPr>
            <w:r>
              <w:rPr>
                <w:sz w:val="26"/>
              </w:rPr>
              <w:t>135219517</w:t>
            </w:r>
          </w:p>
        </w:tc>
        <w:tc>
          <w:tcPr>
            <w:tcW w:w="3152" w:type="dxa"/>
            <w:shd w:val="clear" w:color="auto" w:fill="F3F3F3"/>
          </w:tcPr>
          <w:p>
            <w:pPr>
              <w:pStyle w:val="TableParagraph"/>
              <w:ind w:left="582" w:right="574"/>
              <w:rPr>
                <w:sz w:val="26"/>
              </w:rPr>
            </w:pPr>
            <w:r>
              <w:rPr>
                <w:sz w:val="26"/>
              </w:rPr>
              <w:t>16.49%</w:t>
            </w:r>
          </w:p>
        </w:tc>
      </w:tr>
      <w:tr>
        <w:trPr>
          <w:trHeight w:val="498" w:hRule="atLeast"/>
        </w:trPr>
        <w:tc>
          <w:tcPr>
            <w:tcW w:w="3152" w:type="dxa"/>
            <w:shd w:val="clear" w:color="auto" w:fill="F3F3F3"/>
          </w:tcPr>
          <w:p>
            <w:pPr>
              <w:pStyle w:val="TableParagraph"/>
              <w:spacing w:before="100"/>
              <w:ind w:left="27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N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Banks Mutual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Funds</w:t>
            </w:r>
          </w:p>
        </w:tc>
        <w:tc>
          <w:tcPr>
            <w:tcW w:w="3149" w:type="dxa"/>
            <w:shd w:val="clear" w:color="auto" w:fill="F3F3F3"/>
          </w:tcPr>
          <w:p>
            <w:pPr>
              <w:pStyle w:val="TableParagraph"/>
              <w:ind w:left="809" w:right="799"/>
              <w:rPr>
                <w:sz w:val="26"/>
              </w:rPr>
            </w:pPr>
            <w:r>
              <w:rPr>
                <w:sz w:val="26"/>
              </w:rPr>
              <w:t>166299302</w:t>
            </w:r>
          </w:p>
        </w:tc>
        <w:tc>
          <w:tcPr>
            <w:tcW w:w="3152" w:type="dxa"/>
            <w:shd w:val="clear" w:color="auto" w:fill="F3F3F3"/>
          </w:tcPr>
          <w:p>
            <w:pPr>
              <w:pStyle w:val="TableParagraph"/>
              <w:ind w:left="582" w:right="574"/>
              <w:rPr>
                <w:sz w:val="26"/>
              </w:rPr>
            </w:pPr>
            <w:r>
              <w:rPr>
                <w:sz w:val="26"/>
              </w:rPr>
              <w:t>20.28%</w:t>
            </w:r>
          </w:p>
        </w:tc>
      </w:tr>
      <w:tr>
        <w:trPr>
          <w:trHeight w:val="498" w:hRule="atLeast"/>
        </w:trPr>
        <w:tc>
          <w:tcPr>
            <w:tcW w:w="3152" w:type="dxa"/>
            <w:shd w:val="clear" w:color="auto" w:fill="F3F3F3"/>
          </w:tcPr>
          <w:p>
            <w:pPr>
              <w:pStyle w:val="TableParagraph"/>
              <w:spacing w:before="100"/>
              <w:ind w:left="584" w:right="574"/>
              <w:rPr>
                <w:b/>
                <w:sz w:val="26"/>
              </w:rPr>
            </w:pPr>
            <w:r>
              <w:rPr>
                <w:b/>
                <w:sz w:val="26"/>
              </w:rPr>
              <w:t>Others</w:t>
            </w:r>
          </w:p>
        </w:tc>
        <w:tc>
          <w:tcPr>
            <w:tcW w:w="3149" w:type="dxa"/>
            <w:shd w:val="clear" w:color="auto" w:fill="F3F3F3"/>
          </w:tcPr>
          <w:p>
            <w:pPr>
              <w:pStyle w:val="TableParagraph"/>
              <w:ind w:left="812" w:right="799"/>
              <w:rPr>
                <w:sz w:val="26"/>
              </w:rPr>
            </w:pPr>
            <w:r>
              <w:rPr>
                <w:sz w:val="26"/>
              </w:rPr>
              <w:t>13030437</w:t>
            </w:r>
          </w:p>
        </w:tc>
        <w:tc>
          <w:tcPr>
            <w:tcW w:w="3152" w:type="dxa"/>
            <w:shd w:val="clear" w:color="auto" w:fill="F3F3F3"/>
          </w:tcPr>
          <w:p>
            <w:pPr>
              <w:pStyle w:val="TableParagraph"/>
              <w:ind w:left="582" w:right="574"/>
              <w:rPr>
                <w:sz w:val="26"/>
              </w:rPr>
            </w:pPr>
            <w:r>
              <w:rPr>
                <w:sz w:val="26"/>
              </w:rPr>
              <w:t>1.59%</w:t>
            </w:r>
          </w:p>
        </w:tc>
      </w:tr>
      <w:tr>
        <w:trPr>
          <w:trHeight w:val="498" w:hRule="atLeast"/>
        </w:trPr>
        <w:tc>
          <w:tcPr>
            <w:tcW w:w="3152" w:type="dxa"/>
            <w:shd w:val="clear" w:color="auto" w:fill="F3F3F3"/>
          </w:tcPr>
          <w:p>
            <w:pPr>
              <w:pStyle w:val="TableParagraph"/>
              <w:spacing w:before="100"/>
              <w:ind w:left="738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General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z w:val="26"/>
              </w:rPr>
              <w:t>Public</w:t>
            </w:r>
          </w:p>
        </w:tc>
        <w:tc>
          <w:tcPr>
            <w:tcW w:w="3149" w:type="dxa"/>
            <w:shd w:val="clear" w:color="auto" w:fill="F3F3F3"/>
          </w:tcPr>
          <w:p>
            <w:pPr>
              <w:pStyle w:val="TableParagraph"/>
              <w:ind w:left="812" w:right="799"/>
              <w:rPr>
                <w:sz w:val="26"/>
              </w:rPr>
            </w:pPr>
            <w:r>
              <w:rPr>
                <w:sz w:val="26"/>
              </w:rPr>
              <w:t>48111741</w:t>
            </w:r>
          </w:p>
        </w:tc>
        <w:tc>
          <w:tcPr>
            <w:tcW w:w="3152" w:type="dxa"/>
            <w:shd w:val="clear" w:color="auto" w:fill="F3F3F3"/>
          </w:tcPr>
          <w:p>
            <w:pPr>
              <w:pStyle w:val="TableParagraph"/>
              <w:ind w:left="582" w:right="574"/>
              <w:rPr>
                <w:sz w:val="26"/>
              </w:rPr>
            </w:pPr>
            <w:r>
              <w:rPr>
                <w:sz w:val="26"/>
              </w:rPr>
              <w:t>5.87%</w:t>
            </w:r>
          </w:p>
        </w:tc>
      </w:tr>
      <w:tr>
        <w:trPr>
          <w:trHeight w:val="501" w:hRule="atLeast"/>
        </w:trPr>
        <w:tc>
          <w:tcPr>
            <w:tcW w:w="3152" w:type="dxa"/>
            <w:shd w:val="clear" w:color="auto" w:fill="F3F3F3"/>
          </w:tcPr>
          <w:p>
            <w:pPr>
              <w:pStyle w:val="TableParagraph"/>
              <w:spacing w:before="100"/>
              <w:ind w:left="383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Financial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Institutions</w:t>
            </w:r>
          </w:p>
        </w:tc>
        <w:tc>
          <w:tcPr>
            <w:tcW w:w="3149" w:type="dxa"/>
            <w:shd w:val="clear" w:color="auto" w:fill="F3F3F3"/>
          </w:tcPr>
          <w:p>
            <w:pPr>
              <w:pStyle w:val="TableParagraph"/>
              <w:ind w:left="812" w:right="799"/>
              <w:rPr>
                <w:sz w:val="26"/>
              </w:rPr>
            </w:pPr>
            <w:r>
              <w:rPr>
                <w:sz w:val="26"/>
              </w:rPr>
              <w:t>34076184</w:t>
            </w:r>
          </w:p>
        </w:tc>
        <w:tc>
          <w:tcPr>
            <w:tcW w:w="3152" w:type="dxa"/>
            <w:shd w:val="clear" w:color="auto" w:fill="F3F3F3"/>
          </w:tcPr>
          <w:p>
            <w:pPr>
              <w:pStyle w:val="TableParagraph"/>
              <w:ind w:left="582" w:right="574"/>
              <w:rPr>
                <w:sz w:val="26"/>
              </w:rPr>
            </w:pPr>
            <w:r>
              <w:rPr>
                <w:sz w:val="26"/>
              </w:rPr>
              <w:t>4.16%</w:t>
            </w:r>
          </w:p>
        </w:tc>
      </w:tr>
      <w:tr>
        <w:trPr>
          <w:trHeight w:val="498" w:hRule="atLeast"/>
        </w:trPr>
        <w:tc>
          <w:tcPr>
            <w:tcW w:w="3152" w:type="dxa"/>
            <w:shd w:val="clear" w:color="auto" w:fill="F3F3F3"/>
          </w:tcPr>
          <w:p>
            <w:pPr>
              <w:pStyle w:val="TableParagraph"/>
              <w:spacing w:before="100"/>
              <w:ind w:left="573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Foreign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Promoter</w:t>
            </w:r>
          </w:p>
        </w:tc>
        <w:tc>
          <w:tcPr>
            <w:tcW w:w="3149" w:type="dxa"/>
            <w:shd w:val="clear" w:color="auto" w:fill="F3F3F3"/>
          </w:tcPr>
          <w:p>
            <w:pPr>
              <w:pStyle w:val="TableParagraph"/>
              <w:ind w:left="812" w:right="799"/>
              <w:rPr>
                <w:sz w:val="26"/>
              </w:rPr>
            </w:pPr>
            <w:r>
              <w:rPr>
                <w:sz w:val="26"/>
              </w:rPr>
              <w:t>12890</w:t>
            </w:r>
          </w:p>
        </w:tc>
        <w:tc>
          <w:tcPr>
            <w:tcW w:w="3152" w:type="dxa"/>
            <w:shd w:val="clear" w:color="auto" w:fill="F3F3F3"/>
          </w:tcPr>
          <w:p>
            <w:pPr>
              <w:pStyle w:val="TableParagraph"/>
              <w:ind w:left="584" w:right="574"/>
              <w:rPr>
                <w:sz w:val="26"/>
              </w:rPr>
            </w:pPr>
            <w:r>
              <w:rPr>
                <w:sz w:val="26"/>
              </w:rPr>
              <w:t>0%</w:t>
            </w:r>
          </w:p>
        </w:tc>
      </w:tr>
    </w:tbl>
    <w:p>
      <w:pPr>
        <w:pStyle w:val="BodyText"/>
        <w:spacing w:before="5"/>
        <w:rPr>
          <w:sz w:val="15"/>
        </w:rPr>
      </w:pPr>
    </w:p>
    <w:p>
      <w:pPr>
        <w:spacing w:before="92"/>
        <w:ind w:left="311" w:right="637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1: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Cholamandalam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Investment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Finance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Company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ownership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details</w:t>
      </w:r>
    </w:p>
    <w:p>
      <w:pPr>
        <w:spacing w:after="0"/>
        <w:jc w:val="center"/>
        <w:rPr>
          <w:sz w:val="22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 w:after="1"/>
        <w:rPr>
          <w:i/>
          <w:sz w:val="13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pict>
          <v:group style="width:476.65pt;height:296.05pt;mso-position-horizontal-relative:char;mso-position-vertical-relative:line" coordorigin="0,0" coordsize="9533,5921">
            <v:shape style="position:absolute;left:332;top:347;width:8876;height:5242" type="#_x0000_t75" alt="Chart" stroked="false">
              <v:imagedata r:id="rId9" o:title=""/>
            </v:shape>
            <v:rect style="position:absolute;left:20;top:20;width:9492;height:5880" filled="false" stroked="true" strokeweight="2.04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before="137"/>
        <w:ind w:left="1525" w:right="1849" w:firstLine="0"/>
        <w:jc w:val="center"/>
        <w:rPr>
          <w:i/>
          <w:sz w:val="22"/>
        </w:rPr>
      </w:pPr>
      <w:r>
        <w:rPr>
          <w:i/>
          <w:sz w:val="22"/>
        </w:rPr>
        <w:t>Figure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1: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Cholamandalam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Investment and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Finance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Company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shareholding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19"/>
        </w:rPr>
      </w:pPr>
    </w:p>
    <w:p>
      <w:pPr>
        <w:pStyle w:val="Heading3"/>
        <w:numPr>
          <w:ilvl w:val="2"/>
          <w:numId w:val="6"/>
        </w:numPr>
        <w:tabs>
          <w:tab w:pos="763" w:val="left" w:leader="none"/>
        </w:tabs>
        <w:spacing w:line="240" w:lineRule="auto" w:before="0" w:after="0"/>
        <w:ind w:left="762" w:right="0" w:hanging="632"/>
        <w:jc w:val="both"/>
        <w:rPr>
          <w:color w:val="434343"/>
        </w:rPr>
      </w:pPr>
      <w:bookmarkStart w:name="_bookmark7" w:id="11"/>
      <w:bookmarkEnd w:id="11"/>
      <w:r>
        <w:rPr>
          <w:b w:val="0"/>
        </w:rPr>
      </w:r>
      <w:bookmarkStart w:name="_bookmark7" w:id="12"/>
      <w:bookmarkEnd w:id="12"/>
      <w:r>
        <w:rPr>
          <w:color w:val="434343"/>
        </w:rPr>
        <w:t>O</w:t>
      </w:r>
      <w:r>
        <w:rPr>
          <w:color w:val="434343"/>
        </w:rPr>
        <w:t>rigin</w:t>
      </w:r>
      <w:r>
        <w:rPr>
          <w:color w:val="434343"/>
          <w:spacing w:val="-2"/>
        </w:rPr>
        <w:t> </w:t>
      </w:r>
      <w:r>
        <w:rPr>
          <w:color w:val="434343"/>
        </w:rPr>
        <w:t>of</w:t>
      </w:r>
      <w:r>
        <w:rPr>
          <w:color w:val="434343"/>
          <w:spacing w:val="-2"/>
        </w:rPr>
        <w:t> </w:t>
      </w:r>
      <w:r>
        <w:rPr>
          <w:color w:val="434343"/>
        </w:rPr>
        <w:t>the</w:t>
      </w:r>
      <w:r>
        <w:rPr>
          <w:color w:val="434343"/>
          <w:spacing w:val="-3"/>
        </w:rPr>
        <w:t> </w:t>
      </w:r>
      <w:r>
        <w:rPr>
          <w:color w:val="434343"/>
        </w:rPr>
        <w:t>Company</w:t>
      </w:r>
    </w:p>
    <w:p>
      <w:pPr>
        <w:pStyle w:val="BodyText"/>
        <w:spacing w:line="360" w:lineRule="auto" w:before="126"/>
        <w:ind w:left="131" w:right="456"/>
        <w:jc w:val="both"/>
      </w:pPr>
      <w:r>
        <w:rPr/>
        <w:t>CIFLC got established in 1978 with its headquarters in Chennai, Tamil Nadu. CIFLC started as an</w:t>
      </w:r>
      <w:r>
        <w:rPr>
          <w:spacing w:val="-57"/>
        </w:rPr>
        <w:t> </w:t>
      </w:r>
      <w:r>
        <w:rPr>
          <w:spacing w:val="-1"/>
        </w:rPr>
        <w:t>equipment</w:t>
      </w:r>
      <w:r>
        <w:rPr>
          <w:spacing w:val="-12"/>
        </w:rPr>
        <w:t> </w:t>
      </w:r>
      <w:r>
        <w:rPr>
          <w:spacing w:val="-1"/>
        </w:rPr>
        <w:t>lending</w:t>
      </w:r>
      <w:r>
        <w:rPr>
          <w:spacing w:val="-11"/>
        </w:rPr>
        <w:t> </w:t>
      </w:r>
      <w:r>
        <w:rPr/>
        <w:t>firm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has</w:t>
      </w:r>
      <w:r>
        <w:rPr>
          <w:spacing w:val="-12"/>
        </w:rPr>
        <w:t> </w:t>
      </w:r>
      <w:r>
        <w:rPr/>
        <w:t>evolved</w:t>
      </w:r>
      <w:r>
        <w:rPr>
          <w:spacing w:val="-12"/>
        </w:rPr>
        <w:t> </w:t>
      </w:r>
      <w:r>
        <w:rPr/>
        <w:t>into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full-service</w:t>
      </w:r>
      <w:r>
        <w:rPr>
          <w:spacing w:val="-11"/>
        </w:rPr>
        <w:t> </w:t>
      </w:r>
      <w:r>
        <w:rPr/>
        <w:t>financial</w:t>
      </w:r>
      <w:r>
        <w:rPr>
          <w:spacing w:val="-11"/>
        </w:rPr>
        <w:t> </w:t>
      </w:r>
      <w:r>
        <w:rPr/>
        <w:t>services</w:t>
      </w:r>
      <w:r>
        <w:rPr>
          <w:spacing w:val="-10"/>
        </w:rPr>
        <w:t> </w:t>
      </w:r>
      <w:r>
        <w:rPr/>
        <w:t>company</w:t>
      </w:r>
      <w:r>
        <w:rPr>
          <w:spacing w:val="-16"/>
        </w:rPr>
        <w:t> </w:t>
      </w:r>
      <w:r>
        <w:rPr/>
        <w:t>that</w:t>
      </w:r>
      <w:r>
        <w:rPr>
          <w:spacing w:val="-12"/>
        </w:rPr>
        <w:t> </w:t>
      </w:r>
      <w:r>
        <w:rPr/>
        <w:t>provides</w:t>
      </w:r>
      <w:r>
        <w:rPr>
          <w:spacing w:val="-57"/>
        </w:rPr>
        <w:t> </w:t>
      </w:r>
      <w:r>
        <w:rPr/>
        <w:t>vehicle funding, home loans, home equity loans, SME loans, securities management services,</w:t>
      </w:r>
      <w:r>
        <w:rPr>
          <w:spacing w:val="1"/>
        </w:rPr>
        <w:t> </w:t>
      </w:r>
      <w:r>
        <w:rPr/>
        <w:t>stockbroking,</w:t>
      </w:r>
      <w:r>
        <w:rPr>
          <w:spacing w:val="1"/>
        </w:rPr>
        <w:t> </w:t>
      </w:r>
      <w:r>
        <w:rPr/>
        <w:t>and various other financial services</w:t>
      </w:r>
      <w:r>
        <w:rPr>
          <w:spacing w:val="1"/>
        </w:rPr>
        <w:t> </w:t>
      </w:r>
      <w:r>
        <w:rPr/>
        <w:t>to its clients.</w:t>
      </w:r>
    </w:p>
    <w:p>
      <w:pPr>
        <w:pStyle w:val="BodyText"/>
        <w:spacing w:before="159"/>
        <w:ind w:left="131"/>
        <w:jc w:val="both"/>
      </w:pPr>
      <w:r>
        <w:rPr/>
        <w:t>The</w:t>
      </w:r>
      <w:r>
        <w:rPr>
          <w:spacing w:val="-4"/>
        </w:rPr>
        <w:t> </w:t>
      </w:r>
      <w:r>
        <w:rPr/>
        <w:t>board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directors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CIFLC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stated</w:t>
      </w:r>
      <w:r>
        <w:rPr>
          <w:spacing w:val="-1"/>
        </w:rPr>
        <w:t> </w:t>
      </w:r>
      <w:r>
        <w:rPr/>
        <w:t>below for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reference.</w:t>
      </w:r>
    </w:p>
    <w:p>
      <w:pPr>
        <w:spacing w:after="0"/>
        <w:jc w:val="both"/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spacing w:before="86"/>
        <w:ind w:left="131"/>
        <w:jc w:val="both"/>
      </w:pPr>
      <w:r>
        <w:rPr/>
        <w:t>Board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Directors:</w:t>
      </w:r>
    </w:p>
    <w:p>
      <w:pPr>
        <w:pStyle w:val="BodyText"/>
        <w:rPr>
          <w:b/>
          <w:sz w:val="26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26"/>
        <w:gridCol w:w="4726"/>
      </w:tblGrid>
      <w:tr>
        <w:trPr>
          <w:trHeight w:val="498" w:hRule="atLeast"/>
        </w:trPr>
        <w:tc>
          <w:tcPr>
            <w:tcW w:w="4726" w:type="dxa"/>
            <w:shd w:val="clear" w:color="auto" w:fill="FF9900"/>
          </w:tcPr>
          <w:p>
            <w:pPr>
              <w:pStyle w:val="TableParagraph"/>
              <w:spacing w:before="100"/>
              <w:ind w:left="672" w:right="662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</w:p>
        </w:tc>
        <w:tc>
          <w:tcPr>
            <w:tcW w:w="4726" w:type="dxa"/>
            <w:shd w:val="clear" w:color="auto" w:fill="FF9900"/>
          </w:tcPr>
          <w:p>
            <w:pPr>
              <w:pStyle w:val="TableParagraph"/>
              <w:spacing w:before="100"/>
              <w:ind w:left="672" w:right="662"/>
              <w:rPr>
                <w:b/>
                <w:sz w:val="26"/>
              </w:rPr>
            </w:pPr>
            <w:r>
              <w:rPr>
                <w:b/>
                <w:sz w:val="26"/>
              </w:rPr>
              <w:t>Designation</w:t>
            </w:r>
          </w:p>
        </w:tc>
      </w:tr>
      <w:tr>
        <w:trPr>
          <w:trHeight w:val="500" w:hRule="atLeast"/>
        </w:trPr>
        <w:tc>
          <w:tcPr>
            <w:tcW w:w="4726" w:type="dxa"/>
            <w:shd w:val="clear" w:color="auto" w:fill="F3F3F3"/>
          </w:tcPr>
          <w:p>
            <w:pPr>
              <w:pStyle w:val="TableParagraph"/>
              <w:spacing w:before="100"/>
              <w:ind w:left="1278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Arun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Alagappan</w:t>
            </w:r>
          </w:p>
        </w:tc>
        <w:tc>
          <w:tcPr>
            <w:tcW w:w="4726" w:type="dxa"/>
            <w:shd w:val="clear" w:color="auto" w:fill="F3F3F3"/>
          </w:tcPr>
          <w:p>
            <w:pPr>
              <w:pStyle w:val="TableParagraph"/>
              <w:ind w:left="673" w:right="662"/>
              <w:rPr>
                <w:sz w:val="26"/>
              </w:rPr>
            </w:pPr>
            <w:r>
              <w:rPr>
                <w:sz w:val="26"/>
              </w:rPr>
              <w:t>Managing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Director</w:t>
            </w:r>
          </w:p>
        </w:tc>
      </w:tr>
      <w:tr>
        <w:trPr>
          <w:trHeight w:val="661" w:hRule="atLeast"/>
        </w:trPr>
        <w:tc>
          <w:tcPr>
            <w:tcW w:w="4726" w:type="dxa"/>
            <w:shd w:val="clear" w:color="auto" w:fill="F3F3F3"/>
          </w:tcPr>
          <w:p>
            <w:pPr>
              <w:pStyle w:val="TableParagraph"/>
              <w:spacing w:before="100"/>
              <w:ind w:left="918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Ashok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Kumar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Barat</w:t>
            </w:r>
          </w:p>
        </w:tc>
        <w:tc>
          <w:tcPr>
            <w:tcW w:w="4726" w:type="dxa"/>
            <w:shd w:val="clear" w:color="auto" w:fill="F3F3F3"/>
          </w:tcPr>
          <w:p>
            <w:pPr>
              <w:pStyle w:val="TableParagraph"/>
              <w:ind w:left="674" w:right="662"/>
              <w:rPr>
                <w:sz w:val="26"/>
              </w:rPr>
            </w:pPr>
            <w:r>
              <w:rPr>
                <w:sz w:val="26"/>
              </w:rPr>
              <w:t>Independent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Director</w:t>
            </w:r>
          </w:p>
        </w:tc>
      </w:tr>
      <w:tr>
        <w:trPr>
          <w:trHeight w:val="498" w:hRule="atLeast"/>
        </w:trPr>
        <w:tc>
          <w:tcPr>
            <w:tcW w:w="4726" w:type="dxa"/>
            <w:shd w:val="clear" w:color="auto" w:fill="F3F3F3"/>
          </w:tcPr>
          <w:p>
            <w:pPr>
              <w:pStyle w:val="TableParagraph"/>
              <w:spacing w:before="100"/>
              <w:ind w:left="918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Bhama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Krishnamurthy</w:t>
            </w:r>
          </w:p>
        </w:tc>
        <w:tc>
          <w:tcPr>
            <w:tcW w:w="4726" w:type="dxa"/>
            <w:shd w:val="clear" w:color="auto" w:fill="F3F3F3"/>
          </w:tcPr>
          <w:p>
            <w:pPr>
              <w:pStyle w:val="TableParagraph"/>
              <w:ind w:left="674" w:right="662"/>
              <w:rPr>
                <w:sz w:val="26"/>
              </w:rPr>
            </w:pPr>
            <w:r>
              <w:rPr>
                <w:sz w:val="26"/>
              </w:rPr>
              <w:t>Independent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Director</w:t>
            </w:r>
          </w:p>
        </w:tc>
      </w:tr>
      <w:tr>
        <w:trPr>
          <w:trHeight w:val="500" w:hRule="atLeast"/>
        </w:trPr>
        <w:tc>
          <w:tcPr>
            <w:tcW w:w="4726" w:type="dxa"/>
            <w:shd w:val="clear" w:color="auto" w:fill="F3F3F3"/>
          </w:tcPr>
          <w:p>
            <w:pPr>
              <w:pStyle w:val="TableParagraph"/>
              <w:spacing w:before="100"/>
              <w:ind w:left="1278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Arul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Selvan</w:t>
            </w:r>
          </w:p>
        </w:tc>
        <w:tc>
          <w:tcPr>
            <w:tcW w:w="4726" w:type="dxa"/>
            <w:shd w:val="clear" w:color="auto" w:fill="F3F3F3"/>
          </w:tcPr>
          <w:p>
            <w:pPr>
              <w:pStyle w:val="TableParagraph"/>
              <w:ind w:left="674" w:right="661"/>
              <w:rPr>
                <w:sz w:val="26"/>
              </w:rPr>
            </w:pPr>
            <w:r>
              <w:rPr>
                <w:sz w:val="26"/>
              </w:rPr>
              <w:t>Chief Financial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Officer</w:t>
            </w:r>
          </w:p>
        </w:tc>
      </w:tr>
      <w:tr>
        <w:trPr>
          <w:trHeight w:val="499" w:hRule="atLeast"/>
        </w:trPr>
        <w:tc>
          <w:tcPr>
            <w:tcW w:w="4726" w:type="dxa"/>
            <w:shd w:val="clear" w:color="auto" w:fill="F3F3F3"/>
          </w:tcPr>
          <w:p>
            <w:pPr>
              <w:pStyle w:val="TableParagraph"/>
              <w:spacing w:before="100"/>
              <w:ind w:left="1278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M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M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Murugappan</w:t>
            </w:r>
          </w:p>
        </w:tc>
        <w:tc>
          <w:tcPr>
            <w:tcW w:w="4726" w:type="dxa"/>
            <w:shd w:val="clear" w:color="auto" w:fill="F3F3F3"/>
          </w:tcPr>
          <w:p>
            <w:pPr>
              <w:pStyle w:val="TableParagraph"/>
              <w:ind w:left="673" w:right="662"/>
              <w:rPr>
                <w:sz w:val="26"/>
              </w:rPr>
            </w:pPr>
            <w:r>
              <w:rPr>
                <w:sz w:val="26"/>
              </w:rPr>
              <w:t>Chairman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&amp;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Non-Exe.Director</w:t>
            </w:r>
          </w:p>
        </w:tc>
      </w:tr>
      <w:tr>
        <w:trPr>
          <w:trHeight w:val="498" w:hRule="atLeast"/>
        </w:trPr>
        <w:tc>
          <w:tcPr>
            <w:tcW w:w="4726" w:type="dxa"/>
            <w:shd w:val="clear" w:color="auto" w:fill="F3F3F3"/>
          </w:tcPr>
          <w:p>
            <w:pPr>
              <w:pStyle w:val="TableParagraph"/>
              <w:spacing w:before="100"/>
              <w:ind w:left="1278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N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Ramesh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Rajan</w:t>
            </w:r>
          </w:p>
        </w:tc>
        <w:tc>
          <w:tcPr>
            <w:tcW w:w="4726" w:type="dxa"/>
            <w:shd w:val="clear" w:color="auto" w:fill="F3F3F3"/>
          </w:tcPr>
          <w:p>
            <w:pPr>
              <w:pStyle w:val="TableParagraph"/>
              <w:ind w:left="674" w:right="662"/>
              <w:rPr>
                <w:sz w:val="26"/>
              </w:rPr>
            </w:pPr>
            <w:r>
              <w:rPr>
                <w:sz w:val="26"/>
              </w:rPr>
              <w:t>Independent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Director</w:t>
            </w:r>
          </w:p>
        </w:tc>
      </w:tr>
      <w:tr>
        <w:trPr>
          <w:trHeight w:val="498" w:hRule="atLeast"/>
        </w:trPr>
        <w:tc>
          <w:tcPr>
            <w:tcW w:w="4726" w:type="dxa"/>
            <w:shd w:val="clear" w:color="auto" w:fill="F3F3F3"/>
          </w:tcPr>
          <w:p>
            <w:pPr>
              <w:pStyle w:val="TableParagraph"/>
              <w:spacing w:before="100"/>
              <w:ind w:left="325" w:right="662"/>
              <w:rPr>
                <w:b/>
                <w:sz w:val="26"/>
              </w:rPr>
            </w:pPr>
            <w:r>
              <w:rPr>
                <w:b/>
                <w:sz w:val="26"/>
              </w:rPr>
              <w:t>P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Sujatha</w:t>
            </w:r>
          </w:p>
        </w:tc>
        <w:tc>
          <w:tcPr>
            <w:tcW w:w="4726" w:type="dxa"/>
            <w:shd w:val="clear" w:color="auto" w:fill="F3F3F3"/>
          </w:tcPr>
          <w:p>
            <w:pPr>
              <w:pStyle w:val="TableParagraph"/>
              <w:ind w:left="674" w:right="662"/>
              <w:rPr>
                <w:sz w:val="26"/>
              </w:rPr>
            </w:pPr>
            <w:r>
              <w:rPr>
                <w:sz w:val="26"/>
              </w:rPr>
              <w:t>Co.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Secretary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&amp;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Compl. Officer</w:t>
            </w:r>
          </w:p>
        </w:tc>
      </w:tr>
      <w:tr>
        <w:trPr>
          <w:trHeight w:val="500" w:hRule="atLeast"/>
        </w:trPr>
        <w:tc>
          <w:tcPr>
            <w:tcW w:w="4726" w:type="dxa"/>
            <w:shd w:val="clear" w:color="auto" w:fill="F3F3F3"/>
          </w:tcPr>
          <w:p>
            <w:pPr>
              <w:pStyle w:val="TableParagraph"/>
              <w:spacing w:before="100"/>
              <w:ind w:left="97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Ravindra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Kumar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Kundu</w:t>
            </w:r>
          </w:p>
        </w:tc>
        <w:tc>
          <w:tcPr>
            <w:tcW w:w="4726" w:type="dxa"/>
            <w:shd w:val="clear" w:color="auto" w:fill="F3F3F3"/>
          </w:tcPr>
          <w:p>
            <w:pPr>
              <w:pStyle w:val="TableParagraph"/>
              <w:ind w:left="674" w:right="662"/>
              <w:rPr>
                <w:sz w:val="26"/>
              </w:rPr>
            </w:pPr>
            <w:r>
              <w:rPr>
                <w:sz w:val="26"/>
              </w:rPr>
              <w:t>Executive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Director</w:t>
            </w:r>
          </w:p>
        </w:tc>
      </w:tr>
      <w:tr>
        <w:trPr>
          <w:trHeight w:val="498" w:hRule="atLeast"/>
        </w:trPr>
        <w:tc>
          <w:tcPr>
            <w:tcW w:w="4726" w:type="dxa"/>
            <w:shd w:val="clear" w:color="auto" w:fill="F3F3F3"/>
          </w:tcPr>
          <w:p>
            <w:pPr>
              <w:pStyle w:val="TableParagraph"/>
              <w:spacing w:before="100"/>
              <w:ind w:left="1278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Rohan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Verma</w:t>
            </w:r>
          </w:p>
        </w:tc>
        <w:tc>
          <w:tcPr>
            <w:tcW w:w="4726" w:type="dxa"/>
            <w:shd w:val="clear" w:color="auto" w:fill="F3F3F3"/>
          </w:tcPr>
          <w:p>
            <w:pPr>
              <w:pStyle w:val="TableParagraph"/>
              <w:ind w:left="674" w:right="662"/>
              <w:rPr>
                <w:sz w:val="26"/>
              </w:rPr>
            </w:pPr>
            <w:r>
              <w:rPr>
                <w:sz w:val="26"/>
              </w:rPr>
              <w:t>Independent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Director</w:t>
            </w:r>
          </w:p>
        </w:tc>
      </w:tr>
    </w:tbl>
    <w:p>
      <w:pPr>
        <w:spacing w:before="0"/>
        <w:ind w:left="1012" w:right="0" w:firstLine="0"/>
        <w:jc w:val="left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2: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Cholamandalam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Investment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Finance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Company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Board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of Directors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details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Heading3"/>
        <w:numPr>
          <w:ilvl w:val="2"/>
          <w:numId w:val="6"/>
        </w:numPr>
        <w:tabs>
          <w:tab w:pos="763" w:val="left" w:leader="none"/>
        </w:tabs>
        <w:spacing w:line="240" w:lineRule="auto" w:before="182" w:after="0"/>
        <w:ind w:left="762" w:right="0" w:hanging="632"/>
        <w:jc w:val="both"/>
        <w:rPr>
          <w:color w:val="434343"/>
        </w:rPr>
      </w:pPr>
      <w:bookmarkStart w:name="_bookmark8" w:id="13"/>
      <w:bookmarkEnd w:id="13"/>
      <w:r>
        <w:rPr>
          <w:b w:val="0"/>
        </w:rPr>
      </w:r>
      <w:bookmarkStart w:name="_bookmark8" w:id="14"/>
      <w:bookmarkEnd w:id="14"/>
      <w:r>
        <w:rPr>
          <w:color w:val="434343"/>
        </w:rPr>
        <w:t>Ind</w:t>
      </w:r>
      <w:r>
        <w:rPr>
          <w:color w:val="434343"/>
        </w:rPr>
        <w:t>ustrial</w:t>
      </w:r>
      <w:r>
        <w:rPr>
          <w:color w:val="434343"/>
          <w:spacing w:val="-11"/>
        </w:rPr>
        <w:t> </w:t>
      </w:r>
      <w:r>
        <w:rPr>
          <w:color w:val="434343"/>
        </w:rPr>
        <w:t>Significance</w:t>
      </w:r>
    </w:p>
    <w:p>
      <w:pPr>
        <w:pStyle w:val="BodyText"/>
        <w:spacing w:line="360" w:lineRule="auto" w:before="123"/>
        <w:ind w:left="131" w:right="460"/>
        <w:jc w:val="both"/>
      </w:pPr>
      <w:r>
        <w:rPr/>
        <w:t>Cholafin operates from 1098 branches across India with assets under management worth above</w:t>
      </w:r>
      <w:r>
        <w:rPr>
          <w:spacing w:val="1"/>
        </w:rPr>
        <w:t> </w:t>
      </w:r>
      <w:r>
        <w:rPr/>
        <w:t>INR</w:t>
      </w:r>
      <w:r>
        <w:rPr>
          <w:spacing w:val="1"/>
        </w:rPr>
        <w:t> </w:t>
      </w:r>
      <w:r>
        <w:rPr/>
        <w:t>63,501</w:t>
      </w:r>
      <w:r>
        <w:rPr>
          <w:spacing w:val="1"/>
        </w:rPr>
        <w:t> </w:t>
      </w:r>
      <w:r>
        <w:rPr/>
        <w:t>Crores.</w:t>
      </w:r>
      <w:r>
        <w:rPr>
          <w:spacing w:val="1"/>
        </w:rPr>
        <w:t> </w:t>
      </w:r>
      <w:r>
        <w:rPr/>
        <w:t>Cholamandalam</w:t>
      </w:r>
      <w:r>
        <w:rPr>
          <w:spacing w:val="1"/>
        </w:rPr>
        <w:t> </w:t>
      </w:r>
      <w:r>
        <w:rPr/>
        <w:t>Securities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(CSEC)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Cholamandalam</w:t>
      </w:r>
      <w:r>
        <w:rPr>
          <w:spacing w:val="1"/>
        </w:rPr>
        <w:t> </w:t>
      </w:r>
      <w:r>
        <w:rPr/>
        <w:t>Home</w:t>
      </w:r>
      <w:r>
        <w:rPr>
          <w:spacing w:val="-57"/>
        </w:rPr>
        <w:t> </w:t>
      </w:r>
      <w:r>
        <w:rPr/>
        <w:t>Finance Limited</w:t>
      </w:r>
      <w:r>
        <w:rPr>
          <w:spacing w:val="2"/>
        </w:rPr>
        <w:t> </w:t>
      </w:r>
      <w:r>
        <w:rPr/>
        <w:t>(CHFL)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the subsidiaries</w:t>
      </w:r>
      <w:r>
        <w:rPr>
          <w:spacing w:val="-1"/>
        </w:rPr>
        <w:t> </w:t>
      </w:r>
      <w:r>
        <w:rPr/>
        <w:t>of Cholafin.</w:t>
      </w:r>
    </w:p>
    <w:p>
      <w:pPr>
        <w:pStyle w:val="BodyText"/>
        <w:spacing w:before="2"/>
        <w:rPr>
          <w:sz w:val="28"/>
        </w:rPr>
      </w:pPr>
    </w:p>
    <w:p>
      <w:pPr>
        <w:pStyle w:val="Heading3"/>
        <w:numPr>
          <w:ilvl w:val="2"/>
          <w:numId w:val="6"/>
        </w:numPr>
        <w:tabs>
          <w:tab w:pos="764" w:val="left" w:leader="none"/>
        </w:tabs>
        <w:spacing w:line="240" w:lineRule="auto" w:before="0" w:after="0"/>
        <w:ind w:left="763" w:right="0" w:hanging="633"/>
        <w:jc w:val="both"/>
        <w:rPr>
          <w:color w:val="434343"/>
        </w:rPr>
      </w:pPr>
      <w:bookmarkStart w:name="_bookmark9" w:id="15"/>
      <w:bookmarkEnd w:id="15"/>
      <w:r>
        <w:rPr>
          <w:b w:val="0"/>
        </w:rPr>
      </w:r>
      <w:bookmarkStart w:name="_bookmark9" w:id="16"/>
      <w:bookmarkEnd w:id="16"/>
      <w:r>
        <w:rPr>
          <w:color w:val="434343"/>
        </w:rPr>
        <w:t>O</w:t>
      </w:r>
      <w:r>
        <w:rPr>
          <w:color w:val="434343"/>
        </w:rPr>
        <w:t>verall greatness</w:t>
      </w:r>
      <w:r>
        <w:rPr>
          <w:color w:val="434343"/>
          <w:spacing w:val="-3"/>
        </w:rPr>
        <w:t> </w:t>
      </w:r>
      <w:r>
        <w:rPr>
          <w:color w:val="434343"/>
        </w:rPr>
        <w:t>of CHOLAFIN</w:t>
      </w:r>
    </w:p>
    <w:p>
      <w:pPr>
        <w:pStyle w:val="BodyText"/>
        <w:spacing w:line="360" w:lineRule="auto" w:before="123"/>
        <w:ind w:left="131" w:right="455"/>
        <w:jc w:val="both"/>
      </w:pPr>
      <w:r>
        <w:rPr/>
        <w:t>The company has rapid earnings growth and a low payout ratio making it possible to re-invest in</w:t>
      </w:r>
      <w:r>
        <w:rPr>
          <w:spacing w:val="1"/>
        </w:rPr>
        <w:t> </w:t>
      </w:r>
      <w:r>
        <w:rPr/>
        <w:t>its business. It has also seen a steady increase in its profit margin amid the COVID 19 pandemic,</w:t>
      </w:r>
      <w:r>
        <w:rPr>
          <w:spacing w:val="1"/>
        </w:rPr>
        <w:t> </w:t>
      </w:r>
      <w:r>
        <w:rPr/>
        <w:t>which has boosted the confidence of its shareholders. Moreover, it has an impressive stock-up of</w:t>
      </w:r>
      <w:r>
        <w:rPr>
          <w:spacing w:val="1"/>
        </w:rPr>
        <w:t> </w:t>
      </w:r>
      <w:r>
        <w:rPr/>
        <w:t>over</w:t>
      </w:r>
      <w:r>
        <w:rPr>
          <w:spacing w:val="-1"/>
        </w:rPr>
        <w:t> </w:t>
      </w:r>
      <w:r>
        <w:rPr/>
        <w:t>201%</w:t>
      </w:r>
      <w:r>
        <w:rPr>
          <w:spacing w:val="-1"/>
        </w:rPr>
        <w:t> </w:t>
      </w:r>
      <w:r>
        <w:rPr/>
        <w:t>over the</w:t>
      </w:r>
      <w:r>
        <w:rPr>
          <w:spacing w:val="-2"/>
        </w:rPr>
        <w:t> </w:t>
      </w:r>
      <w:r>
        <w:rPr/>
        <w:t>last five</w:t>
      </w:r>
      <w:r>
        <w:rPr>
          <w:spacing w:val="1"/>
        </w:rPr>
        <w:t> </w:t>
      </w:r>
      <w:r>
        <w:rPr/>
        <w:t>years and has a</w:t>
      </w:r>
      <w:r>
        <w:rPr>
          <w:spacing w:val="-1"/>
        </w:rPr>
        <w:t> </w:t>
      </w:r>
      <w:r>
        <w:rPr/>
        <w:t>healthy</w:t>
      </w:r>
      <w:r>
        <w:rPr>
          <w:spacing w:val="-5"/>
        </w:rPr>
        <w:t> </w:t>
      </w:r>
      <w:r>
        <w:rPr/>
        <w:t>earnings per</w:t>
      </w:r>
      <w:r>
        <w:rPr>
          <w:spacing w:val="-1"/>
        </w:rPr>
        <w:t> </w:t>
      </w:r>
      <w:r>
        <w:rPr/>
        <w:t>share</w:t>
      </w:r>
      <w:r>
        <w:rPr>
          <w:spacing w:val="-1"/>
        </w:rPr>
        <w:t> </w:t>
      </w:r>
      <w:r>
        <w:rPr/>
        <w:t>(EPS) ratio.</w:t>
      </w:r>
    </w:p>
    <w:p>
      <w:pPr>
        <w:spacing w:after="0" w:line="360" w:lineRule="auto"/>
        <w:jc w:val="both"/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6"/>
        </w:numPr>
        <w:tabs>
          <w:tab w:pos="554" w:val="left" w:leader="none"/>
        </w:tabs>
        <w:spacing w:line="240" w:lineRule="auto" w:before="85" w:after="0"/>
        <w:ind w:left="553" w:right="0" w:hanging="423"/>
        <w:jc w:val="left"/>
      </w:pPr>
      <w:bookmarkStart w:name="_bookmark10" w:id="17"/>
      <w:bookmarkEnd w:id="17"/>
      <w:r>
        <w:rPr>
          <w:b w:val="0"/>
        </w:rPr>
      </w:r>
      <w:bookmarkStart w:name="_bookmark10" w:id="18"/>
      <w:bookmarkEnd w:id="18"/>
      <w:r>
        <w:rPr/>
        <w:t>U</w:t>
      </w:r>
      <w:r>
        <w:rPr/>
        <w:t>nadjusted</w:t>
      </w:r>
      <w:r>
        <w:rPr>
          <w:spacing w:val="-4"/>
        </w:rPr>
        <w:t> </w:t>
      </w:r>
      <w:r>
        <w:rPr/>
        <w:t>Risk</w:t>
      </w:r>
      <w:r>
        <w:rPr>
          <w:spacing w:val="-6"/>
        </w:rPr>
        <w:t> </w:t>
      </w:r>
      <w:r>
        <w:rPr/>
        <w:t>Returns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Underlying</w:t>
      </w:r>
      <w:r>
        <w:rPr>
          <w:spacing w:val="-2"/>
        </w:rPr>
        <w:t> </w:t>
      </w:r>
      <w:r>
        <w:rPr/>
        <w:t>Equity</w:t>
      </w:r>
      <w:r>
        <w:rPr>
          <w:spacing w:val="-2"/>
        </w:rPr>
        <w:t> </w:t>
      </w:r>
      <w:r>
        <w:rPr/>
        <w:t>Asset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2129"/>
        <w:gridCol w:w="2386"/>
        <w:gridCol w:w="2386"/>
      </w:tblGrid>
      <w:tr>
        <w:trPr>
          <w:trHeight w:val="498" w:hRule="atLeast"/>
        </w:trPr>
        <w:tc>
          <w:tcPr>
            <w:tcW w:w="2552" w:type="dxa"/>
            <w:shd w:val="clear" w:color="auto" w:fill="FF9900"/>
          </w:tcPr>
          <w:p>
            <w:pPr>
              <w:pStyle w:val="TableParagraph"/>
              <w:spacing w:before="100"/>
              <w:ind w:left="93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Returns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(Frequency)</w:t>
            </w:r>
          </w:p>
        </w:tc>
        <w:tc>
          <w:tcPr>
            <w:tcW w:w="2129" w:type="dxa"/>
            <w:shd w:val="clear" w:color="auto" w:fill="FF9900"/>
          </w:tcPr>
          <w:p>
            <w:pPr>
              <w:pStyle w:val="TableParagraph"/>
              <w:spacing w:before="100"/>
              <w:ind w:left="743" w:right="732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left="688" w:right="680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left="689" w:right="680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498" w:hRule="atLeast"/>
        </w:trPr>
        <w:tc>
          <w:tcPr>
            <w:tcW w:w="2552" w:type="dxa"/>
            <w:shd w:val="clear" w:color="auto" w:fill="F3F3F3"/>
          </w:tcPr>
          <w:p>
            <w:pPr>
              <w:pStyle w:val="TableParagraph"/>
              <w:spacing w:before="100"/>
              <w:ind w:left="93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Mean(%)</w:t>
            </w:r>
          </w:p>
        </w:tc>
        <w:tc>
          <w:tcPr>
            <w:tcW w:w="2129" w:type="dxa"/>
            <w:shd w:val="clear" w:color="auto" w:fill="F3F3F3"/>
          </w:tcPr>
          <w:p>
            <w:pPr>
              <w:pStyle w:val="TableParagraph"/>
              <w:ind w:left="0" w:right="689"/>
              <w:jc w:val="right"/>
              <w:rPr>
                <w:sz w:val="26"/>
              </w:rPr>
            </w:pPr>
            <w:r>
              <w:rPr>
                <w:sz w:val="26"/>
              </w:rPr>
              <w:t>0.3416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1.7163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5.3590</w:t>
            </w:r>
          </w:p>
        </w:tc>
      </w:tr>
      <w:tr>
        <w:trPr>
          <w:trHeight w:val="498" w:hRule="atLeast"/>
        </w:trPr>
        <w:tc>
          <w:tcPr>
            <w:tcW w:w="2552" w:type="dxa"/>
            <w:shd w:val="clear" w:color="auto" w:fill="F3F3F3"/>
          </w:tcPr>
          <w:p>
            <w:pPr>
              <w:pStyle w:val="TableParagraph"/>
              <w:spacing w:before="100"/>
              <w:ind w:left="91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Maximum(%)</w:t>
            </w:r>
          </w:p>
        </w:tc>
        <w:tc>
          <w:tcPr>
            <w:tcW w:w="2129" w:type="dxa"/>
            <w:shd w:val="clear" w:color="auto" w:fill="F3F3F3"/>
          </w:tcPr>
          <w:p>
            <w:pPr>
              <w:pStyle w:val="TableParagraph"/>
              <w:ind w:left="0" w:right="624"/>
              <w:jc w:val="right"/>
              <w:rPr>
                <w:sz w:val="26"/>
              </w:rPr>
            </w:pPr>
            <w:r>
              <w:rPr>
                <w:sz w:val="26"/>
              </w:rPr>
              <w:t>15.5172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31.8094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32.6395</w:t>
            </w:r>
          </w:p>
        </w:tc>
      </w:tr>
      <w:tr>
        <w:trPr>
          <w:trHeight w:val="500" w:hRule="atLeast"/>
        </w:trPr>
        <w:tc>
          <w:tcPr>
            <w:tcW w:w="2552" w:type="dxa"/>
            <w:shd w:val="clear" w:color="auto" w:fill="F3F3F3"/>
          </w:tcPr>
          <w:p>
            <w:pPr>
              <w:pStyle w:val="TableParagraph"/>
              <w:spacing w:before="100"/>
              <w:ind w:left="91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Minimum(%)</w:t>
            </w:r>
          </w:p>
        </w:tc>
        <w:tc>
          <w:tcPr>
            <w:tcW w:w="2129" w:type="dxa"/>
            <w:shd w:val="clear" w:color="auto" w:fill="F3F3F3"/>
          </w:tcPr>
          <w:p>
            <w:pPr>
              <w:pStyle w:val="TableParagraph"/>
              <w:ind w:left="0" w:right="581"/>
              <w:jc w:val="right"/>
              <w:rPr>
                <w:sz w:val="26"/>
              </w:rPr>
            </w:pPr>
            <w:r>
              <w:rPr>
                <w:sz w:val="26"/>
              </w:rPr>
              <w:t>-29.5990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-40.4074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-49.3874</w:t>
            </w:r>
          </w:p>
        </w:tc>
      </w:tr>
      <w:tr>
        <w:trPr>
          <w:trHeight w:val="498" w:hRule="atLeast"/>
        </w:trPr>
        <w:tc>
          <w:tcPr>
            <w:tcW w:w="2552" w:type="dxa"/>
            <w:shd w:val="clear" w:color="auto" w:fill="F3F3F3"/>
          </w:tcPr>
          <w:p>
            <w:pPr>
              <w:pStyle w:val="TableParagraph"/>
              <w:spacing w:before="100"/>
              <w:ind w:left="91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129" w:type="dxa"/>
            <w:shd w:val="clear" w:color="auto" w:fill="F3F3F3"/>
          </w:tcPr>
          <w:p>
            <w:pPr>
              <w:pStyle w:val="TableParagraph"/>
              <w:ind w:left="0" w:right="689"/>
              <w:jc w:val="right"/>
              <w:rPr>
                <w:sz w:val="26"/>
              </w:rPr>
            </w:pPr>
            <w:r>
              <w:rPr>
                <w:sz w:val="26"/>
              </w:rPr>
              <w:t>4.8786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11.2848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20.2464</w:t>
            </w:r>
          </w:p>
        </w:tc>
      </w:tr>
    </w:tbl>
    <w:p>
      <w:pPr>
        <w:spacing w:line="247" w:lineRule="exact" w:before="0"/>
        <w:ind w:left="311" w:right="633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3: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Unadjusted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Risk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returns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Equity</w:t>
      </w:r>
    </w:p>
    <w:p>
      <w:pPr>
        <w:pStyle w:val="BodyText"/>
        <w:spacing w:before="9"/>
        <w:rPr>
          <w:i/>
          <w:sz w:val="28"/>
        </w:rPr>
      </w:pPr>
    </w:p>
    <w:p>
      <w:pPr>
        <w:pStyle w:val="ListParagraph"/>
        <w:numPr>
          <w:ilvl w:val="0"/>
          <w:numId w:val="7"/>
        </w:numPr>
        <w:tabs>
          <w:tab w:pos="851" w:val="left" w:leader="none"/>
          <w:tab w:pos="852" w:val="left" w:leader="none"/>
        </w:tabs>
        <w:spacing w:line="240" w:lineRule="auto" w:before="89" w:after="0"/>
        <w:ind w:left="851" w:right="0" w:hanging="361"/>
        <w:jc w:val="left"/>
        <w:rPr>
          <w:b/>
          <w:sz w:val="26"/>
        </w:rPr>
      </w:pPr>
      <w:r>
        <w:rPr>
          <w:b/>
          <w:sz w:val="26"/>
        </w:rPr>
        <w:t>Daily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Returns</w:t>
      </w:r>
    </w:p>
    <w:p>
      <w:pPr>
        <w:pStyle w:val="BodyText"/>
        <w:spacing w:before="10"/>
        <w:rPr>
          <w:b/>
          <w:sz w:val="27"/>
        </w:rPr>
      </w:pPr>
      <w:r>
        <w:rPr/>
        <w:pict>
          <v:group style="position:absolute;margin-left:67.440002pt;margin-top:18.003681pt;width:481pt;height:270.75pt;mso-position-horizontal-relative:page;mso-position-vertical-relative:paragraph;z-index:-15726592;mso-wrap-distance-left:0;mso-wrap-distance-right:0" coordorigin="1349,360" coordsize="9620,5415">
            <v:shape style="position:absolute;left:1389;top:400;width:9538;height:5333" type="#_x0000_t75" stroked="false">
              <v:imagedata r:id="rId10" o:title=""/>
            </v:shape>
            <v:rect style="position:absolute;left:1369;top:380;width:9579;height:5374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851" w:val="left" w:leader="none"/>
          <w:tab w:pos="852" w:val="left" w:leader="none"/>
        </w:tabs>
        <w:spacing w:line="240" w:lineRule="auto" w:before="87" w:after="0"/>
        <w:ind w:left="851" w:right="0" w:hanging="361"/>
        <w:jc w:val="left"/>
        <w:rPr>
          <w:b/>
          <w:sz w:val="26"/>
        </w:rPr>
      </w:pPr>
      <w:r>
        <w:rPr>
          <w:b/>
          <w:sz w:val="26"/>
        </w:rPr>
        <w:t>Weekly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Returns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pict>
          <v:group style="position:absolute;margin-left:67.440002pt;margin-top:7.900137pt;width:481.8pt;height:263.9pt;mso-position-horizontal-relative:page;mso-position-vertical-relative:paragraph;z-index:-15726080;mso-wrap-distance-left:0;mso-wrap-distance-right:0" coordorigin="1349,158" coordsize="9636,5278">
            <v:shape style="position:absolute;left:1389;top:198;width:9555;height:5196" type="#_x0000_t75" stroked="false">
              <v:imagedata r:id="rId11" o:title=""/>
            </v:shape>
            <v:rect style="position:absolute;left:1369;top:178;width:9596;height:5237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7"/>
        </w:numPr>
        <w:tabs>
          <w:tab w:pos="851" w:val="left" w:leader="none"/>
          <w:tab w:pos="852" w:val="left" w:leader="none"/>
        </w:tabs>
        <w:spacing w:line="240" w:lineRule="auto" w:before="186" w:after="0"/>
        <w:ind w:left="851" w:right="0" w:hanging="361"/>
        <w:jc w:val="left"/>
        <w:rPr>
          <w:b/>
          <w:sz w:val="26"/>
        </w:rPr>
      </w:pPr>
      <w:r>
        <w:rPr>
          <w:b/>
          <w:sz w:val="26"/>
        </w:rPr>
        <w:t>Monthly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Returns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pict>
          <v:group style="position:absolute;margin-left:67.440002pt;margin-top:7.829512pt;width:476.65pt;height:226.1pt;mso-position-horizontal-relative:page;mso-position-vertical-relative:paragraph;z-index:-15725568;mso-wrap-distance-left:0;mso-wrap-distance-right:0" coordorigin="1349,157" coordsize="9533,4522">
            <v:shape style="position:absolute;left:1389;top:197;width:9452;height:4440" type="#_x0000_t75" stroked="false">
              <v:imagedata r:id="rId12" o:title=""/>
            </v:shape>
            <v:rect style="position:absolute;left:1369;top:177;width:9492;height:4481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pStyle w:val="Heading3"/>
        <w:numPr>
          <w:ilvl w:val="1"/>
          <w:numId w:val="6"/>
        </w:numPr>
        <w:tabs>
          <w:tab w:pos="554" w:val="left" w:leader="none"/>
        </w:tabs>
        <w:spacing w:line="240" w:lineRule="auto" w:before="89" w:after="0"/>
        <w:ind w:left="553" w:right="0" w:hanging="423"/>
        <w:jc w:val="left"/>
      </w:pPr>
      <w:bookmarkStart w:name="_bookmark11" w:id="19"/>
      <w:bookmarkEnd w:id="19"/>
      <w:r>
        <w:rPr>
          <w:b w:val="0"/>
        </w:rPr>
      </w:r>
      <w:bookmarkStart w:name="_bookmark11" w:id="20"/>
      <w:bookmarkEnd w:id="20"/>
      <w:r>
        <w:rPr/>
        <w:t>R</w:t>
      </w:r>
      <w:r>
        <w:rPr/>
        <w:t>isk-Adjusted</w:t>
      </w:r>
      <w:r>
        <w:rPr>
          <w:spacing w:val="-5"/>
        </w:rPr>
        <w:t> </w:t>
      </w:r>
      <w:r>
        <w:rPr/>
        <w:t>Returns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Underlying</w:t>
      </w:r>
      <w:r>
        <w:rPr>
          <w:spacing w:val="-4"/>
        </w:rPr>
        <w:t> </w:t>
      </w:r>
      <w:r>
        <w:rPr/>
        <w:t>Equity</w:t>
      </w:r>
      <w:r>
        <w:rPr>
          <w:spacing w:val="-3"/>
        </w:rPr>
        <w:t> </w:t>
      </w:r>
      <w:r>
        <w:rPr/>
        <w:t>Asset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5"/>
        <w:gridCol w:w="2146"/>
        <w:gridCol w:w="2386"/>
        <w:gridCol w:w="2386"/>
      </w:tblGrid>
      <w:tr>
        <w:trPr>
          <w:trHeight w:val="498" w:hRule="atLeast"/>
        </w:trPr>
        <w:tc>
          <w:tcPr>
            <w:tcW w:w="2535" w:type="dxa"/>
            <w:shd w:val="clear" w:color="auto" w:fill="FF9900"/>
          </w:tcPr>
          <w:p>
            <w:pPr>
              <w:pStyle w:val="TableParagraph"/>
              <w:spacing w:before="100"/>
              <w:ind w:left="86" w:right="74"/>
              <w:rPr>
                <w:b/>
                <w:sz w:val="26"/>
              </w:rPr>
            </w:pPr>
            <w:r>
              <w:rPr>
                <w:b/>
                <w:sz w:val="26"/>
              </w:rPr>
              <w:t>Returns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(Frequency)</w:t>
            </w:r>
          </w:p>
        </w:tc>
        <w:tc>
          <w:tcPr>
            <w:tcW w:w="2146" w:type="dxa"/>
            <w:shd w:val="clear" w:color="auto" w:fill="FF9900"/>
          </w:tcPr>
          <w:p>
            <w:pPr>
              <w:pStyle w:val="TableParagraph"/>
              <w:spacing w:before="100"/>
              <w:ind w:left="753" w:right="739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left="688" w:right="680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left="689" w:right="680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498" w:hRule="atLeast"/>
        </w:trPr>
        <w:tc>
          <w:tcPr>
            <w:tcW w:w="2535" w:type="dxa"/>
            <w:shd w:val="clear" w:color="auto" w:fill="F3F3F3"/>
          </w:tcPr>
          <w:p>
            <w:pPr>
              <w:pStyle w:val="TableParagraph"/>
              <w:spacing w:before="100"/>
              <w:ind w:left="86" w:right="73"/>
              <w:rPr>
                <w:b/>
                <w:sz w:val="26"/>
              </w:rPr>
            </w:pPr>
            <w:r>
              <w:rPr>
                <w:b/>
                <w:sz w:val="26"/>
              </w:rPr>
              <w:t>Mean(%)</w:t>
            </w:r>
          </w:p>
        </w:tc>
        <w:tc>
          <w:tcPr>
            <w:tcW w:w="2146" w:type="dxa"/>
            <w:shd w:val="clear" w:color="auto" w:fill="F3F3F3"/>
          </w:tcPr>
          <w:p>
            <w:pPr>
              <w:pStyle w:val="TableParagraph"/>
              <w:ind w:left="0" w:right="696"/>
              <w:jc w:val="right"/>
              <w:rPr>
                <w:sz w:val="26"/>
              </w:rPr>
            </w:pPr>
            <w:r>
              <w:rPr>
                <w:sz w:val="26"/>
              </w:rPr>
              <w:t>0.3252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1.6014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4.8614</w:t>
            </w:r>
          </w:p>
        </w:tc>
      </w:tr>
      <w:tr>
        <w:trPr>
          <w:trHeight w:val="500" w:hRule="atLeast"/>
        </w:trPr>
        <w:tc>
          <w:tcPr>
            <w:tcW w:w="2535" w:type="dxa"/>
            <w:shd w:val="clear" w:color="auto" w:fill="F3F3F3"/>
          </w:tcPr>
          <w:p>
            <w:pPr>
              <w:pStyle w:val="TableParagraph"/>
              <w:spacing w:before="100"/>
              <w:ind w:left="84" w:right="74"/>
              <w:rPr>
                <w:b/>
                <w:sz w:val="26"/>
              </w:rPr>
            </w:pPr>
            <w:r>
              <w:rPr>
                <w:b/>
                <w:sz w:val="26"/>
              </w:rPr>
              <w:t>Maximum(%)</w:t>
            </w:r>
          </w:p>
        </w:tc>
        <w:tc>
          <w:tcPr>
            <w:tcW w:w="2146" w:type="dxa"/>
            <w:shd w:val="clear" w:color="auto" w:fill="F3F3F3"/>
          </w:tcPr>
          <w:p>
            <w:pPr>
              <w:pStyle w:val="TableParagraph"/>
              <w:ind w:left="0" w:right="631"/>
              <w:jc w:val="right"/>
              <w:rPr>
                <w:sz w:val="26"/>
              </w:rPr>
            </w:pPr>
            <w:r>
              <w:rPr>
                <w:sz w:val="26"/>
              </w:rPr>
              <w:t>15.4996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31.6969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32.1469</w:t>
            </w:r>
          </w:p>
        </w:tc>
      </w:tr>
      <w:tr>
        <w:trPr>
          <w:trHeight w:val="498" w:hRule="atLeast"/>
        </w:trPr>
        <w:tc>
          <w:tcPr>
            <w:tcW w:w="2535" w:type="dxa"/>
            <w:shd w:val="clear" w:color="auto" w:fill="F3F3F3"/>
          </w:tcPr>
          <w:p>
            <w:pPr>
              <w:pStyle w:val="TableParagraph"/>
              <w:spacing w:before="100"/>
              <w:ind w:left="84" w:right="74"/>
              <w:rPr>
                <w:b/>
                <w:sz w:val="26"/>
              </w:rPr>
            </w:pPr>
            <w:r>
              <w:rPr>
                <w:b/>
                <w:sz w:val="26"/>
              </w:rPr>
              <w:t>Minimum(%)</w:t>
            </w:r>
          </w:p>
        </w:tc>
        <w:tc>
          <w:tcPr>
            <w:tcW w:w="2146" w:type="dxa"/>
            <w:shd w:val="clear" w:color="auto" w:fill="F3F3F3"/>
          </w:tcPr>
          <w:p>
            <w:pPr>
              <w:pStyle w:val="TableParagraph"/>
              <w:ind w:left="0" w:right="588"/>
              <w:jc w:val="right"/>
              <w:rPr>
                <w:sz w:val="26"/>
              </w:rPr>
            </w:pPr>
            <w:r>
              <w:rPr>
                <w:sz w:val="26"/>
              </w:rPr>
              <w:t>-29.6164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-40.5277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-49.8989</w:t>
            </w:r>
          </w:p>
        </w:tc>
      </w:tr>
      <w:tr>
        <w:trPr>
          <w:trHeight w:val="498" w:hRule="atLeast"/>
        </w:trPr>
        <w:tc>
          <w:tcPr>
            <w:tcW w:w="2535" w:type="dxa"/>
            <w:shd w:val="clear" w:color="auto" w:fill="F3F3F3"/>
          </w:tcPr>
          <w:p>
            <w:pPr>
              <w:pStyle w:val="TableParagraph"/>
              <w:spacing w:before="100"/>
              <w:ind w:left="85" w:right="74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146" w:type="dxa"/>
            <w:shd w:val="clear" w:color="auto" w:fill="F3F3F3"/>
          </w:tcPr>
          <w:p>
            <w:pPr>
              <w:pStyle w:val="TableParagraph"/>
              <w:ind w:left="0" w:right="696"/>
              <w:jc w:val="right"/>
              <w:rPr>
                <w:sz w:val="26"/>
              </w:rPr>
            </w:pPr>
            <w:r>
              <w:rPr>
                <w:sz w:val="26"/>
              </w:rPr>
              <w:t>4.8786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11.2856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20.2482</w:t>
            </w:r>
          </w:p>
        </w:tc>
      </w:tr>
    </w:tbl>
    <w:p>
      <w:pPr>
        <w:spacing w:line="247" w:lineRule="exact" w:before="0"/>
        <w:ind w:left="311" w:right="632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4: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Adjusted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Returns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Equity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5"/>
        </w:rPr>
      </w:pPr>
    </w:p>
    <w:p>
      <w:pPr>
        <w:pStyle w:val="ListParagraph"/>
        <w:numPr>
          <w:ilvl w:val="0"/>
          <w:numId w:val="8"/>
        </w:numPr>
        <w:tabs>
          <w:tab w:pos="851" w:val="left" w:leader="none"/>
          <w:tab w:pos="852" w:val="left" w:leader="none"/>
        </w:tabs>
        <w:spacing w:line="240" w:lineRule="auto" w:before="88" w:after="0"/>
        <w:ind w:left="851" w:right="0" w:hanging="361"/>
        <w:jc w:val="left"/>
        <w:rPr>
          <w:b/>
          <w:sz w:val="26"/>
        </w:rPr>
      </w:pPr>
      <w:r>
        <w:rPr>
          <w:b/>
          <w:sz w:val="26"/>
        </w:rPr>
        <w:t>Daily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Returns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pict>
          <v:group style="position:absolute;margin-left:67.440002pt;margin-top:7.829512pt;width:476.55pt;height:281.9pt;mso-position-horizontal-relative:page;mso-position-vertical-relative:paragraph;z-index:-15725056;mso-wrap-distance-left:0;mso-wrap-distance-right:0" coordorigin="1349,157" coordsize="9531,5638">
            <v:shape style="position:absolute;left:1389;top:197;width:9449;height:5556" type="#_x0000_t75" stroked="false">
              <v:imagedata r:id="rId13" o:title=""/>
            </v:shape>
            <v:rect style="position:absolute;left:1369;top:177;width:9490;height:5597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"/>
        <w:rPr>
          <w:b/>
          <w:sz w:val="29"/>
        </w:rPr>
      </w:pPr>
    </w:p>
    <w:p>
      <w:pPr>
        <w:pStyle w:val="ListParagraph"/>
        <w:numPr>
          <w:ilvl w:val="0"/>
          <w:numId w:val="8"/>
        </w:numPr>
        <w:tabs>
          <w:tab w:pos="851" w:val="left" w:leader="none"/>
          <w:tab w:pos="852" w:val="left" w:leader="none"/>
        </w:tabs>
        <w:spacing w:line="240" w:lineRule="auto" w:before="88" w:after="0"/>
        <w:ind w:left="851" w:right="0" w:hanging="361"/>
        <w:jc w:val="left"/>
        <w:rPr>
          <w:b/>
          <w:sz w:val="26"/>
        </w:rPr>
      </w:pPr>
      <w:r>
        <w:rPr/>
        <w:pict>
          <v:group style="position:absolute;margin-left:67.440002pt;margin-top:21.55673pt;width:476.55pt;height:282.75pt;mso-position-horizontal-relative:page;mso-position-vertical-relative:paragraph;z-index:-15724544;mso-wrap-distance-left:0;mso-wrap-distance-right:0" coordorigin="1349,431" coordsize="9531,5655">
            <v:shape style="position:absolute;left:1389;top:471;width:9449;height:5573" type="#_x0000_t75" stroked="false">
              <v:imagedata r:id="rId14" o:title=""/>
            </v:shape>
            <v:rect style="position:absolute;left:1369;top:451;width:9490;height:5614" filled="false" stroked="true" strokeweight="2.04pt" strokecolor="#000000">
              <v:stroke dashstyle="solid"/>
            </v:rect>
            <w10:wrap type="topAndBottom"/>
          </v:group>
        </w:pict>
      </w:r>
      <w:r>
        <w:rPr>
          <w:b/>
          <w:sz w:val="26"/>
        </w:rPr>
        <w:t>Weekly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Returns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8"/>
        </w:numPr>
        <w:tabs>
          <w:tab w:pos="851" w:val="left" w:leader="none"/>
          <w:tab w:pos="852" w:val="left" w:leader="none"/>
        </w:tabs>
        <w:spacing w:line="240" w:lineRule="auto" w:before="187" w:after="0"/>
        <w:ind w:left="851" w:right="0" w:hanging="361"/>
        <w:jc w:val="left"/>
        <w:rPr>
          <w:b/>
          <w:sz w:val="26"/>
        </w:rPr>
      </w:pPr>
      <w:r>
        <w:rPr/>
        <w:pict>
          <v:group style="position:absolute;margin-left:67.440002pt;margin-top:26.274097pt;width:480.25pt;height:283.350pt;mso-position-horizontal-relative:page;mso-position-vertical-relative:paragraph;z-index:-15724032;mso-wrap-distance-left:0;mso-wrap-distance-right:0" coordorigin="1349,525" coordsize="9605,5667">
            <v:shape style="position:absolute;left:1389;top:566;width:9524;height:5585" type="#_x0000_t75" stroked="false">
              <v:imagedata r:id="rId15" o:title=""/>
            </v:shape>
            <v:rect style="position:absolute;left:1369;top:545;width:9564;height:5626" filled="false" stroked="true" strokeweight="2.04pt" strokecolor="#000000">
              <v:stroke dashstyle="solid"/>
            </v:rect>
            <w10:wrap type="topAndBottom"/>
          </v:group>
        </w:pict>
      </w:r>
      <w:r>
        <w:rPr>
          <w:b/>
          <w:sz w:val="26"/>
        </w:rPr>
        <w:t>Monthly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Returns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6"/>
        </w:numPr>
        <w:tabs>
          <w:tab w:pos="554" w:val="left" w:leader="none"/>
        </w:tabs>
        <w:spacing w:line="240" w:lineRule="auto" w:before="85" w:after="0"/>
        <w:ind w:left="553" w:right="0" w:hanging="423"/>
        <w:jc w:val="left"/>
      </w:pPr>
      <w:bookmarkStart w:name="_bookmark12" w:id="21"/>
      <w:bookmarkEnd w:id="21"/>
      <w:r>
        <w:rPr>
          <w:b w:val="0"/>
        </w:rPr>
      </w:r>
      <w:bookmarkStart w:name="_bookmark12" w:id="22"/>
      <w:bookmarkEnd w:id="22"/>
      <w:r>
        <w:rPr/>
        <w:t>E</w:t>
      </w:r>
      <w:r>
        <w:rPr/>
        <w:t>conomic</w:t>
      </w:r>
      <w:r>
        <w:rPr>
          <w:spacing w:val="-11"/>
        </w:rPr>
        <w:t> </w:t>
      </w:r>
      <w:r>
        <w:rPr/>
        <w:t>Interpretation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13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Risk-Adjusted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Return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Sharpe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Ratio: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line="300" w:lineRule="auto" w:before="90"/>
        <w:ind w:left="131" w:right="454"/>
        <w:jc w:val="both"/>
      </w:pPr>
      <w:r>
        <w:rPr/>
        <w:t>Risk-adjusted return is defined as the return in excess of the risk-free return that can be made by</w:t>
      </w:r>
      <w:r>
        <w:rPr>
          <w:spacing w:val="1"/>
        </w:rPr>
        <w:t> </w:t>
      </w:r>
      <w:r>
        <w:rPr/>
        <w:t>investing in the asset. Hence, it is calculated by subtracting the risk-free return from the risk-</w:t>
      </w:r>
      <w:r>
        <w:rPr>
          <w:spacing w:val="1"/>
        </w:rPr>
        <w:t> </w:t>
      </w:r>
      <w:r>
        <w:rPr/>
        <w:t>unadjusted</w:t>
      </w:r>
      <w:r>
        <w:rPr>
          <w:spacing w:val="-1"/>
        </w:rPr>
        <w:t> </w:t>
      </w:r>
      <w:r>
        <w:rPr/>
        <w:t>return.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00" w:lineRule="auto"/>
        <w:ind w:left="131" w:right="458"/>
        <w:jc w:val="both"/>
      </w:pPr>
      <w:r>
        <w:rPr>
          <w:i/>
        </w:rPr>
        <w:t>Sharpe ratio</w:t>
      </w:r>
      <w:r>
        <w:rPr/>
        <w:t>, defined as the excess portfolio return over the risk-free rate relative to its standard</w:t>
      </w:r>
      <w:r>
        <w:rPr>
          <w:spacing w:val="1"/>
        </w:rPr>
        <w:t> </w:t>
      </w:r>
      <w:r>
        <w:rPr/>
        <w:t>deviation,</w:t>
      </w:r>
      <w:r>
        <w:rPr>
          <w:spacing w:val="-1"/>
        </w:rPr>
        <w:t> </w:t>
      </w:r>
      <w:r>
        <w:rPr/>
        <w:t>is generally</w:t>
      </w:r>
      <w:r>
        <w:rPr>
          <w:spacing w:val="-5"/>
        </w:rPr>
        <w:t> </w:t>
      </w:r>
      <w:r>
        <w:rPr/>
        <w:t>used to indicate the</w:t>
      </w:r>
      <w:r>
        <w:rPr>
          <w:spacing w:val="-1"/>
        </w:rPr>
        <w:t> </w:t>
      </w:r>
      <w:r>
        <w:rPr/>
        <w:t>risk-adjusted return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851" w:val="left" w:leader="none"/>
          <w:tab w:pos="852" w:val="left" w:leader="none"/>
        </w:tabs>
        <w:spacing w:line="240" w:lineRule="auto" w:before="0" w:after="0"/>
        <w:ind w:left="851" w:right="0" w:hanging="361"/>
        <w:jc w:val="left"/>
        <w:rPr>
          <w:sz w:val="24"/>
        </w:rPr>
      </w:pPr>
      <w:r>
        <w:rPr>
          <w:sz w:val="24"/>
        </w:rPr>
        <w:t>Sharpe</w:t>
      </w:r>
      <w:r>
        <w:rPr>
          <w:spacing w:val="-3"/>
          <w:sz w:val="24"/>
        </w:rPr>
        <w:t> </w:t>
      </w:r>
      <w:r>
        <w:rPr>
          <w:sz w:val="24"/>
        </w:rPr>
        <w:t>Ratio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(r</w:t>
      </w:r>
      <w:r>
        <w:rPr>
          <w:sz w:val="16"/>
        </w:rPr>
        <w:t>p</w:t>
      </w:r>
      <w:r>
        <w:rPr>
          <w:spacing w:val="20"/>
          <w:sz w:val="16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r</w:t>
      </w:r>
      <w:r>
        <w:rPr>
          <w:sz w:val="16"/>
        </w:rPr>
        <w:t>f</w:t>
      </w:r>
      <w:r>
        <w:rPr>
          <w:sz w:val="24"/>
        </w:rPr>
        <w:t>)/stdev(r</w:t>
      </w:r>
      <w:r>
        <w:rPr>
          <w:sz w:val="16"/>
        </w:rPr>
        <w:t>x</w:t>
      </w:r>
      <w:r>
        <w:rPr>
          <w:sz w:val="24"/>
        </w:rPr>
        <w:t>)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1"/>
          <w:numId w:val="9"/>
        </w:numPr>
        <w:tabs>
          <w:tab w:pos="1571" w:val="left" w:leader="none"/>
          <w:tab w:pos="1572" w:val="left" w:leader="none"/>
        </w:tabs>
        <w:spacing w:line="240" w:lineRule="auto" w:before="0" w:after="0"/>
        <w:ind w:left="1571" w:right="0" w:hanging="361"/>
        <w:jc w:val="left"/>
        <w:rPr>
          <w:sz w:val="24"/>
        </w:rPr>
      </w:pPr>
      <w:r>
        <w:rPr>
          <w:sz w:val="24"/>
        </w:rPr>
        <w:t>r</w:t>
      </w:r>
      <w:r>
        <w:rPr>
          <w:sz w:val="16"/>
        </w:rPr>
        <w:t>p</w:t>
      </w:r>
      <w:r>
        <w:rPr>
          <w:spacing w:val="19"/>
          <w:sz w:val="16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risk-unadjusted</w:t>
      </w:r>
      <w:r>
        <w:rPr>
          <w:spacing w:val="-1"/>
          <w:sz w:val="24"/>
        </w:rPr>
        <w:t> </w:t>
      </w:r>
      <w:r>
        <w:rPr>
          <w:sz w:val="24"/>
        </w:rPr>
        <w:t>return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1"/>
          <w:numId w:val="9"/>
        </w:numPr>
        <w:tabs>
          <w:tab w:pos="1571" w:val="left" w:leader="none"/>
          <w:tab w:pos="1572" w:val="left" w:leader="none"/>
        </w:tabs>
        <w:spacing w:line="240" w:lineRule="auto" w:before="1" w:after="0"/>
        <w:ind w:left="1571" w:right="0" w:hanging="361"/>
        <w:jc w:val="left"/>
        <w:rPr>
          <w:sz w:val="24"/>
        </w:rPr>
      </w:pPr>
      <w:r>
        <w:rPr>
          <w:sz w:val="24"/>
        </w:rPr>
        <w:t>r</w:t>
      </w:r>
      <w:r>
        <w:rPr>
          <w:sz w:val="16"/>
        </w:rPr>
        <w:t>f</w:t>
      </w:r>
      <w:r>
        <w:rPr>
          <w:spacing w:val="18"/>
          <w:sz w:val="16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risk-free</w:t>
      </w:r>
      <w:r>
        <w:rPr>
          <w:spacing w:val="-2"/>
          <w:sz w:val="24"/>
        </w:rPr>
        <w:t> </w:t>
      </w:r>
      <w:r>
        <w:rPr>
          <w:sz w:val="24"/>
        </w:rPr>
        <w:t>return/rate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1"/>
          <w:numId w:val="9"/>
        </w:numPr>
        <w:tabs>
          <w:tab w:pos="1571" w:val="left" w:leader="none"/>
          <w:tab w:pos="1572" w:val="left" w:leader="none"/>
        </w:tabs>
        <w:spacing w:line="240" w:lineRule="auto" w:before="0" w:after="0"/>
        <w:ind w:left="1571" w:right="0" w:hanging="361"/>
        <w:jc w:val="left"/>
        <w:rPr>
          <w:sz w:val="24"/>
        </w:rPr>
      </w:pPr>
      <w:r>
        <w:rPr>
          <w:sz w:val="24"/>
        </w:rPr>
        <w:t>r</w:t>
      </w:r>
      <w:r>
        <w:rPr>
          <w:sz w:val="16"/>
        </w:rPr>
        <w:t>x</w:t>
      </w:r>
      <w:r>
        <w:rPr>
          <w:spacing w:val="16"/>
          <w:sz w:val="16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risk-adjusted</w:t>
      </w:r>
      <w:r>
        <w:rPr>
          <w:spacing w:val="-1"/>
          <w:sz w:val="24"/>
        </w:rPr>
        <w:t> </w:t>
      </w:r>
      <w:r>
        <w:rPr>
          <w:sz w:val="24"/>
        </w:rPr>
        <w:t>return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300" w:lineRule="auto"/>
        <w:ind w:left="131" w:right="451"/>
        <w:jc w:val="both"/>
      </w:pPr>
      <w:r>
        <w:rPr/>
        <w:t>The risk-adjusted returns are always lesser than the unadjusted risk returns since they are adjusted</w:t>
      </w:r>
      <w:r>
        <w:rPr>
          <w:spacing w:val="1"/>
        </w:rPr>
        <w:t> </w:t>
      </w:r>
      <w:r>
        <w:rPr/>
        <w:t>for the risk-free rate. Thus they are a more economically valuable indicator for comparing the</w:t>
      </w:r>
      <w:r>
        <w:rPr>
          <w:spacing w:val="1"/>
        </w:rPr>
        <w:t> </w:t>
      </w:r>
      <w:r>
        <w:rPr/>
        <w:t>returns</w:t>
      </w:r>
      <w:r>
        <w:rPr>
          <w:spacing w:val="-13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asset.</w:t>
      </w:r>
      <w:r>
        <w:rPr>
          <w:spacing w:val="-13"/>
        </w:rPr>
        <w:t> </w:t>
      </w:r>
      <w:r>
        <w:rPr/>
        <w:t>Risk-adjusted</w:t>
      </w:r>
      <w:r>
        <w:rPr>
          <w:spacing w:val="-12"/>
        </w:rPr>
        <w:t> </w:t>
      </w:r>
      <w:r>
        <w:rPr/>
        <w:t>returns</w:t>
      </w:r>
      <w:r>
        <w:rPr>
          <w:spacing w:val="-11"/>
        </w:rPr>
        <w:t> </w:t>
      </w:r>
      <w:r>
        <w:rPr/>
        <w:t>(instead</w:t>
      </w:r>
      <w:r>
        <w:rPr>
          <w:spacing w:val="-9"/>
        </w:rPr>
        <w:t> </w:t>
      </w:r>
      <w:r>
        <w:rPr/>
        <w:t>of</w:t>
      </w:r>
      <w:r>
        <w:rPr>
          <w:spacing w:val="-14"/>
        </w:rPr>
        <w:t> </w:t>
      </w:r>
      <w:r>
        <w:rPr/>
        <w:t>unadjusted</w:t>
      </w:r>
      <w:r>
        <w:rPr>
          <w:spacing w:val="-11"/>
        </w:rPr>
        <w:t> </w:t>
      </w:r>
      <w:r>
        <w:rPr/>
        <w:t>risk</w:t>
      </w:r>
      <w:r>
        <w:rPr>
          <w:spacing w:val="-12"/>
        </w:rPr>
        <w:t> </w:t>
      </w:r>
      <w:r>
        <w:rPr/>
        <w:t>returns)</w:t>
      </w:r>
      <w:r>
        <w:rPr>
          <w:spacing w:val="-14"/>
        </w:rPr>
        <w:t> </w:t>
      </w:r>
      <w:r>
        <w:rPr/>
        <w:t>should</w:t>
      </w:r>
      <w:r>
        <w:rPr>
          <w:spacing w:val="-13"/>
        </w:rPr>
        <w:t> </w:t>
      </w:r>
      <w:r>
        <w:rPr/>
        <w:t>be</w:t>
      </w:r>
      <w:r>
        <w:rPr>
          <w:spacing w:val="-10"/>
        </w:rPr>
        <w:t> </w:t>
      </w:r>
      <w:r>
        <w:rPr/>
        <w:t>greater</w:t>
      </w:r>
      <w:r>
        <w:rPr>
          <w:spacing w:val="-12"/>
        </w:rPr>
        <w:t> </w:t>
      </w:r>
      <w:r>
        <w:rPr/>
        <w:t>than</w:t>
      </w:r>
      <w:r>
        <w:rPr>
          <w:spacing w:val="-58"/>
        </w:rPr>
        <w:t> </w:t>
      </w:r>
      <w:r>
        <w:rPr/>
        <w:t>risk-free returns to make the investment profitable. Otherwise, an investor can be better off by</w:t>
      </w:r>
      <w:r>
        <w:rPr>
          <w:spacing w:val="1"/>
        </w:rPr>
        <w:t> </w:t>
      </w:r>
      <w:r>
        <w:rPr/>
        <w:t>investing</w:t>
      </w:r>
      <w:r>
        <w:rPr>
          <w:spacing w:val="-4"/>
        </w:rPr>
        <w:t> </w:t>
      </w:r>
      <w:r>
        <w:rPr/>
        <w:t>in a risk-free</w:t>
      </w:r>
      <w:r>
        <w:rPr>
          <w:spacing w:val="-1"/>
        </w:rPr>
        <w:t> </w:t>
      </w:r>
      <w:r>
        <w:rPr/>
        <w:t>asset.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00" w:lineRule="auto"/>
        <w:ind w:left="131" w:right="465"/>
        <w:jc w:val="both"/>
      </w:pPr>
      <w:r>
        <w:rPr/>
        <w:t>The following table shows the trend in the Sharpe ratio for equity investments with different</w:t>
      </w:r>
      <w:r>
        <w:rPr>
          <w:spacing w:val="1"/>
        </w:rPr>
        <w:t> </w:t>
      </w:r>
      <w:r>
        <w:rPr/>
        <w:t>frequencies: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5"/>
        <w:gridCol w:w="2057"/>
        <w:gridCol w:w="2009"/>
        <w:gridCol w:w="2132"/>
      </w:tblGrid>
      <w:tr>
        <w:trPr>
          <w:trHeight w:val="500" w:hRule="atLeast"/>
        </w:trPr>
        <w:tc>
          <w:tcPr>
            <w:tcW w:w="3255" w:type="dxa"/>
            <w:shd w:val="clear" w:color="auto" w:fill="FF9900"/>
          </w:tcPr>
          <w:p>
            <w:pPr>
              <w:pStyle w:val="TableParagraph"/>
              <w:spacing w:before="100"/>
              <w:ind w:left="160" w:right="148"/>
              <w:rPr>
                <w:b/>
                <w:sz w:val="26"/>
              </w:rPr>
            </w:pPr>
            <w:r>
              <w:rPr>
                <w:b/>
                <w:sz w:val="26"/>
              </w:rPr>
              <w:t>Sharpe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Ratio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(Frequency)</w:t>
            </w:r>
          </w:p>
        </w:tc>
        <w:tc>
          <w:tcPr>
            <w:tcW w:w="2057" w:type="dxa"/>
            <w:shd w:val="clear" w:color="auto" w:fill="FF9900"/>
          </w:tcPr>
          <w:p>
            <w:pPr>
              <w:pStyle w:val="TableParagraph"/>
              <w:spacing w:before="100"/>
              <w:ind w:left="73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009" w:type="dxa"/>
            <w:shd w:val="clear" w:color="auto" w:fill="FF9900"/>
          </w:tcPr>
          <w:p>
            <w:pPr>
              <w:pStyle w:val="TableParagraph"/>
              <w:spacing w:before="100"/>
              <w:ind w:left="556" w:right="545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132" w:type="dxa"/>
            <w:shd w:val="clear" w:color="auto" w:fill="FF9900"/>
          </w:tcPr>
          <w:p>
            <w:pPr>
              <w:pStyle w:val="TableParagraph"/>
              <w:spacing w:before="100"/>
              <w:ind w:left="563" w:right="554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541" w:hRule="atLeast"/>
        </w:trPr>
        <w:tc>
          <w:tcPr>
            <w:tcW w:w="3255" w:type="dxa"/>
            <w:shd w:val="clear" w:color="auto" w:fill="F3F3F3"/>
          </w:tcPr>
          <w:p>
            <w:pPr>
              <w:pStyle w:val="TableParagraph"/>
              <w:spacing w:before="100"/>
              <w:ind w:left="160" w:right="147"/>
              <w:rPr>
                <w:b/>
                <w:sz w:val="26"/>
              </w:rPr>
            </w:pPr>
            <w:r>
              <w:rPr>
                <w:b/>
                <w:sz w:val="26"/>
              </w:rPr>
              <w:t>Mean</w:t>
            </w:r>
          </w:p>
        </w:tc>
        <w:tc>
          <w:tcPr>
            <w:tcW w:w="2057" w:type="dxa"/>
            <w:shd w:val="clear" w:color="auto" w:fill="F3F3F3"/>
          </w:tcPr>
          <w:p>
            <w:pPr>
              <w:pStyle w:val="TableParagraph"/>
              <w:ind w:left="669"/>
              <w:jc w:val="left"/>
              <w:rPr>
                <w:sz w:val="26"/>
              </w:rPr>
            </w:pPr>
            <w:r>
              <w:rPr>
                <w:sz w:val="26"/>
              </w:rPr>
              <w:t>0.0667</w:t>
            </w:r>
          </w:p>
        </w:tc>
        <w:tc>
          <w:tcPr>
            <w:tcW w:w="2009" w:type="dxa"/>
            <w:shd w:val="clear" w:color="auto" w:fill="F3F3F3"/>
          </w:tcPr>
          <w:p>
            <w:pPr>
              <w:pStyle w:val="TableParagraph"/>
              <w:ind w:left="559" w:right="545"/>
              <w:rPr>
                <w:sz w:val="26"/>
              </w:rPr>
            </w:pPr>
            <w:r>
              <w:rPr>
                <w:sz w:val="26"/>
              </w:rPr>
              <w:t>0.14191</w:t>
            </w:r>
          </w:p>
        </w:tc>
        <w:tc>
          <w:tcPr>
            <w:tcW w:w="2132" w:type="dxa"/>
            <w:shd w:val="clear" w:color="auto" w:fill="F3F3F3"/>
          </w:tcPr>
          <w:p>
            <w:pPr>
              <w:pStyle w:val="TableParagraph"/>
              <w:ind w:left="563" w:right="551"/>
              <w:rPr>
                <w:sz w:val="26"/>
              </w:rPr>
            </w:pPr>
            <w:r>
              <w:rPr>
                <w:sz w:val="26"/>
              </w:rPr>
              <w:t>0.2401</w:t>
            </w:r>
          </w:p>
        </w:tc>
      </w:tr>
      <w:tr>
        <w:trPr>
          <w:trHeight w:val="544" w:hRule="atLeast"/>
        </w:trPr>
        <w:tc>
          <w:tcPr>
            <w:tcW w:w="3255" w:type="dxa"/>
            <w:shd w:val="clear" w:color="auto" w:fill="F3F3F3"/>
          </w:tcPr>
          <w:p>
            <w:pPr>
              <w:pStyle w:val="TableParagraph"/>
              <w:spacing w:before="100"/>
              <w:ind w:left="160" w:right="145"/>
              <w:rPr>
                <w:b/>
                <w:sz w:val="26"/>
              </w:rPr>
            </w:pPr>
            <w:r>
              <w:rPr>
                <w:b/>
                <w:sz w:val="26"/>
              </w:rPr>
              <w:t>Maximum</w:t>
            </w:r>
          </w:p>
        </w:tc>
        <w:tc>
          <w:tcPr>
            <w:tcW w:w="2057" w:type="dxa"/>
            <w:shd w:val="clear" w:color="auto" w:fill="F3F3F3"/>
          </w:tcPr>
          <w:p>
            <w:pPr>
              <w:pStyle w:val="TableParagraph"/>
              <w:ind w:left="669"/>
              <w:jc w:val="left"/>
              <w:rPr>
                <w:sz w:val="26"/>
              </w:rPr>
            </w:pPr>
            <w:r>
              <w:rPr>
                <w:sz w:val="26"/>
              </w:rPr>
              <w:t>3.1771</w:t>
            </w:r>
          </w:p>
        </w:tc>
        <w:tc>
          <w:tcPr>
            <w:tcW w:w="2009" w:type="dxa"/>
            <w:shd w:val="clear" w:color="auto" w:fill="F3F3F3"/>
          </w:tcPr>
          <w:p>
            <w:pPr>
              <w:pStyle w:val="TableParagraph"/>
              <w:ind w:left="559" w:right="545"/>
              <w:rPr>
                <w:sz w:val="26"/>
              </w:rPr>
            </w:pPr>
            <w:r>
              <w:rPr>
                <w:sz w:val="26"/>
              </w:rPr>
              <w:t>2.8088</w:t>
            </w:r>
          </w:p>
        </w:tc>
        <w:tc>
          <w:tcPr>
            <w:tcW w:w="2132" w:type="dxa"/>
            <w:shd w:val="clear" w:color="auto" w:fill="F3F3F3"/>
          </w:tcPr>
          <w:p>
            <w:pPr>
              <w:pStyle w:val="TableParagraph"/>
              <w:ind w:left="563" w:right="551"/>
              <w:rPr>
                <w:sz w:val="26"/>
              </w:rPr>
            </w:pPr>
            <w:r>
              <w:rPr>
                <w:sz w:val="26"/>
              </w:rPr>
              <w:t>1.5878</w:t>
            </w:r>
          </w:p>
        </w:tc>
      </w:tr>
      <w:tr>
        <w:trPr>
          <w:trHeight w:val="543" w:hRule="atLeast"/>
        </w:trPr>
        <w:tc>
          <w:tcPr>
            <w:tcW w:w="3255" w:type="dxa"/>
            <w:shd w:val="clear" w:color="auto" w:fill="F3F3F3"/>
          </w:tcPr>
          <w:p>
            <w:pPr>
              <w:pStyle w:val="TableParagraph"/>
              <w:spacing w:before="100"/>
              <w:ind w:left="160" w:right="145"/>
              <w:rPr>
                <w:b/>
                <w:sz w:val="26"/>
              </w:rPr>
            </w:pPr>
            <w:r>
              <w:rPr>
                <w:b/>
                <w:sz w:val="26"/>
              </w:rPr>
              <w:t>Minimum</w:t>
            </w:r>
          </w:p>
        </w:tc>
        <w:tc>
          <w:tcPr>
            <w:tcW w:w="2057" w:type="dxa"/>
            <w:shd w:val="clear" w:color="auto" w:fill="F3F3F3"/>
          </w:tcPr>
          <w:p>
            <w:pPr>
              <w:pStyle w:val="TableParagraph"/>
              <w:ind w:left="625"/>
              <w:jc w:val="left"/>
              <w:rPr>
                <w:sz w:val="26"/>
              </w:rPr>
            </w:pPr>
            <w:r>
              <w:rPr>
                <w:sz w:val="26"/>
              </w:rPr>
              <w:t>-6.0707</w:t>
            </w:r>
          </w:p>
        </w:tc>
        <w:tc>
          <w:tcPr>
            <w:tcW w:w="2009" w:type="dxa"/>
            <w:shd w:val="clear" w:color="auto" w:fill="F3F3F3"/>
          </w:tcPr>
          <w:p>
            <w:pPr>
              <w:pStyle w:val="TableParagraph"/>
              <w:ind w:left="559" w:right="545"/>
              <w:rPr>
                <w:sz w:val="26"/>
              </w:rPr>
            </w:pPr>
            <w:r>
              <w:rPr>
                <w:sz w:val="26"/>
              </w:rPr>
              <w:t>-3.5913</w:t>
            </w:r>
          </w:p>
        </w:tc>
        <w:tc>
          <w:tcPr>
            <w:tcW w:w="2132" w:type="dxa"/>
            <w:shd w:val="clear" w:color="auto" w:fill="F3F3F3"/>
          </w:tcPr>
          <w:p>
            <w:pPr>
              <w:pStyle w:val="TableParagraph"/>
              <w:ind w:left="563" w:right="551"/>
              <w:rPr>
                <w:sz w:val="26"/>
              </w:rPr>
            </w:pPr>
            <w:r>
              <w:rPr>
                <w:sz w:val="26"/>
              </w:rPr>
              <w:t>-2.4646</w:t>
            </w:r>
          </w:p>
        </w:tc>
      </w:tr>
      <w:tr>
        <w:trPr>
          <w:trHeight w:val="546" w:hRule="atLeast"/>
        </w:trPr>
        <w:tc>
          <w:tcPr>
            <w:tcW w:w="3255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195" w:right="187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0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71"/>
              <w:jc w:val="left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  <w:tc>
          <w:tcPr>
            <w:tcW w:w="20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300" w:right="286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  <w:tc>
          <w:tcPr>
            <w:tcW w:w="213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425" w:right="413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</w:tr>
    </w:tbl>
    <w:p>
      <w:pPr>
        <w:spacing w:line="247" w:lineRule="exact" w:before="0"/>
        <w:ind w:left="311" w:right="632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5: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Sharpe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Ratio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Equity</w:t>
      </w:r>
    </w:p>
    <w:p>
      <w:pPr>
        <w:spacing w:after="0" w:line="247" w:lineRule="exact"/>
        <w:jc w:val="center"/>
        <w:rPr>
          <w:sz w:val="22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9"/>
        </w:numPr>
        <w:tabs>
          <w:tab w:pos="851" w:val="left" w:leader="none"/>
          <w:tab w:pos="852" w:val="left" w:leader="none"/>
        </w:tabs>
        <w:spacing w:line="240" w:lineRule="auto" w:before="87" w:after="0"/>
        <w:ind w:left="851" w:right="0" w:hanging="361"/>
        <w:jc w:val="left"/>
        <w:rPr>
          <w:b/>
          <w:sz w:val="26"/>
        </w:rPr>
      </w:pPr>
      <w:r>
        <w:rPr/>
        <w:pict>
          <v:group style="position:absolute;margin-left:67.440002pt;margin-top:21.506704pt;width:479.55pt;height:292.45pt;mso-position-horizontal-relative:page;mso-position-vertical-relative:paragraph;z-index:-15723520;mso-wrap-distance-left:0;mso-wrap-distance-right:0" coordorigin="1349,430" coordsize="9591,5849">
            <v:shape style="position:absolute;left:1389;top:470;width:9509;height:5768" type="#_x0000_t75" stroked="false">
              <v:imagedata r:id="rId16" o:title=""/>
            </v:shape>
            <v:rect style="position:absolute;left:1369;top:450;width:9550;height:5808" filled="false" stroked="true" strokeweight="2.04pt" strokecolor="#000000">
              <v:stroke dashstyle="solid"/>
            </v:rect>
            <w10:wrap type="topAndBottom"/>
          </v:group>
        </w:pict>
      </w:r>
      <w:r>
        <w:rPr>
          <w:b/>
          <w:sz w:val="26"/>
        </w:rPr>
        <w:t>Daily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Sharpe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Ratio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9"/>
        </w:numPr>
        <w:tabs>
          <w:tab w:pos="851" w:val="left" w:leader="none"/>
          <w:tab w:pos="852" w:val="left" w:leader="none"/>
        </w:tabs>
        <w:spacing w:line="240" w:lineRule="auto" w:before="187" w:after="0"/>
        <w:ind w:left="851" w:right="0" w:hanging="361"/>
        <w:jc w:val="left"/>
        <w:rPr>
          <w:b/>
          <w:sz w:val="26"/>
        </w:rPr>
      </w:pPr>
      <w:r>
        <w:rPr/>
        <w:pict>
          <v:group style="position:absolute;margin-left:67.440002pt;margin-top:26.274069pt;width:476.55pt;height:281.650pt;mso-position-horizontal-relative:page;mso-position-vertical-relative:paragraph;z-index:-15723008;mso-wrap-distance-left:0;mso-wrap-distance-right:0" coordorigin="1349,525" coordsize="9531,5633">
            <v:shape style="position:absolute;left:1389;top:566;width:9449;height:5552" type="#_x0000_t75" stroked="false">
              <v:imagedata r:id="rId17" o:title=""/>
            </v:shape>
            <v:rect style="position:absolute;left:1369;top:545;width:9490;height:5592" filled="false" stroked="true" strokeweight="2.04pt" strokecolor="#000000">
              <v:stroke dashstyle="solid"/>
            </v:rect>
            <w10:wrap type="topAndBottom"/>
          </v:group>
        </w:pict>
      </w:r>
      <w:r>
        <w:rPr>
          <w:b/>
          <w:sz w:val="26"/>
        </w:rPr>
        <w:t>Weekly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Sharpe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Ratio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9"/>
        </w:numPr>
        <w:tabs>
          <w:tab w:pos="851" w:val="left" w:leader="none"/>
          <w:tab w:pos="852" w:val="left" w:leader="none"/>
        </w:tabs>
        <w:spacing w:line="240" w:lineRule="auto" w:before="87" w:after="0"/>
        <w:ind w:left="851" w:right="0" w:hanging="361"/>
        <w:jc w:val="left"/>
        <w:rPr>
          <w:b/>
          <w:sz w:val="26"/>
        </w:rPr>
      </w:pPr>
      <w:r>
        <w:rPr/>
        <w:pict>
          <v:group style="position:absolute;margin-left:67.440002pt;margin-top:21.506704pt;width:476.65pt;height:283.1pt;mso-position-horizontal-relative:page;mso-position-vertical-relative:paragraph;z-index:-15722496;mso-wrap-distance-left:0;mso-wrap-distance-right:0" coordorigin="1349,430" coordsize="9533,5662">
            <v:shape style="position:absolute;left:1389;top:470;width:9452;height:5580" type="#_x0000_t75" stroked="false">
              <v:imagedata r:id="rId18" o:title=""/>
            </v:shape>
            <v:rect style="position:absolute;left:1369;top:450;width:9492;height:5621" filled="false" stroked="true" strokeweight="2.04pt" strokecolor="#000000">
              <v:stroke dashstyle="solid"/>
            </v:rect>
            <w10:wrap type="topAndBottom"/>
          </v:group>
        </w:pict>
      </w:r>
      <w:r>
        <w:rPr>
          <w:b/>
          <w:sz w:val="26"/>
        </w:rPr>
        <w:t>Monthly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Sharpe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Ratio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9"/>
        </w:numPr>
        <w:tabs>
          <w:tab w:pos="851" w:val="left" w:leader="none"/>
          <w:tab w:pos="852" w:val="left" w:leader="none"/>
        </w:tabs>
        <w:spacing w:line="240" w:lineRule="auto" w:before="186" w:after="0"/>
        <w:ind w:left="851" w:right="0" w:hanging="361"/>
        <w:jc w:val="left"/>
        <w:rPr>
          <w:b/>
          <w:sz w:val="26"/>
        </w:rPr>
      </w:pPr>
      <w:r>
        <w:rPr>
          <w:b/>
          <w:sz w:val="26"/>
        </w:rPr>
        <w:t>Sharpe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Ratio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v/s Frequency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  <w:r>
        <w:rPr/>
        <w:pict>
          <v:group style="position:absolute;margin-left:89.760002pt;margin-top:10.604267pt;width:427.95pt;height:244pt;mso-position-horizontal-relative:page;mso-position-vertical-relative:paragraph;z-index:-15721984;mso-wrap-distance-left:0;mso-wrap-distance-right:0" coordorigin="1795,212" coordsize="8559,4880">
            <v:shape style="position:absolute;left:2111;top:517;width:7940;height:4294" type="#_x0000_t75" alt="Chart" stroked="false">
              <v:imagedata r:id="rId19" o:title=""/>
            </v:shape>
            <v:rect style="position:absolute;left:1815;top:232;width:8518;height:4839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spacing w:before="88"/>
        <w:ind w:left="131" w:right="0" w:firstLine="0"/>
        <w:jc w:val="left"/>
        <w:rPr>
          <w:b/>
          <w:sz w:val="30"/>
        </w:rPr>
      </w:pPr>
      <w:r>
        <w:rPr>
          <w:b/>
          <w:sz w:val="30"/>
        </w:rPr>
        <w:t>Observations</w:t>
      </w:r>
    </w:p>
    <w:p>
      <w:pPr>
        <w:pStyle w:val="ListParagraph"/>
        <w:numPr>
          <w:ilvl w:val="0"/>
          <w:numId w:val="9"/>
        </w:numPr>
        <w:tabs>
          <w:tab w:pos="851" w:val="left" w:leader="none"/>
          <w:tab w:pos="852" w:val="left" w:leader="none"/>
        </w:tabs>
        <w:spacing w:line="300" w:lineRule="auto" w:before="78" w:after="0"/>
        <w:ind w:left="851" w:right="457" w:hanging="360"/>
        <w:jc w:val="left"/>
        <w:rPr>
          <w:sz w:val="24"/>
        </w:rPr>
      </w:pPr>
      <w:r>
        <w:rPr>
          <w:sz w:val="24"/>
        </w:rPr>
        <w:t>The standard</w:t>
      </w:r>
      <w:r>
        <w:rPr>
          <w:spacing w:val="1"/>
          <w:sz w:val="24"/>
        </w:rPr>
        <w:t> </w:t>
      </w:r>
      <w:r>
        <w:rPr>
          <w:sz w:val="24"/>
        </w:rPr>
        <w:t>deviation,</w:t>
      </w:r>
      <w:r>
        <w:rPr>
          <w:spacing w:val="3"/>
          <w:sz w:val="24"/>
        </w:rPr>
        <w:t> </w:t>
      </w:r>
      <w:r>
        <w:rPr>
          <w:sz w:val="24"/>
        </w:rPr>
        <w:t>i.e.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volatility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risk-adjusted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risk</w:t>
      </w:r>
      <w:r>
        <w:rPr>
          <w:spacing w:val="3"/>
          <w:sz w:val="24"/>
        </w:rPr>
        <w:t> </w:t>
      </w:r>
      <w:r>
        <w:rPr>
          <w:sz w:val="24"/>
        </w:rPr>
        <w:t>unadjusted</w:t>
      </w:r>
      <w:r>
        <w:rPr>
          <w:spacing w:val="2"/>
          <w:sz w:val="24"/>
        </w:rPr>
        <w:t> </w:t>
      </w:r>
      <w:r>
        <w:rPr>
          <w:sz w:val="24"/>
        </w:rPr>
        <w:t>data,</w:t>
      </w:r>
      <w:r>
        <w:rPr>
          <w:spacing w:val="4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nearly</w:t>
      </w:r>
      <w:r>
        <w:rPr>
          <w:spacing w:val="-5"/>
          <w:sz w:val="24"/>
        </w:rPr>
        <w:t> </w:t>
      </w:r>
      <w:r>
        <w:rPr>
          <w:sz w:val="24"/>
        </w:rPr>
        <w:t>similar.</w:t>
      </w:r>
    </w:p>
    <w:p>
      <w:pPr>
        <w:pStyle w:val="ListParagraph"/>
        <w:numPr>
          <w:ilvl w:val="0"/>
          <w:numId w:val="9"/>
        </w:numPr>
        <w:tabs>
          <w:tab w:pos="851" w:val="left" w:leader="none"/>
          <w:tab w:pos="852" w:val="left" w:leader="none"/>
        </w:tabs>
        <w:spacing w:line="240" w:lineRule="auto" w:before="1" w:after="0"/>
        <w:ind w:left="85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mean</w:t>
      </w:r>
      <w:r>
        <w:rPr>
          <w:spacing w:val="-8"/>
          <w:sz w:val="24"/>
        </w:rPr>
        <w:t> </w:t>
      </w:r>
      <w:r>
        <w:rPr>
          <w:sz w:val="24"/>
        </w:rPr>
        <w:t>returns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risk-adjusted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unadjusted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follow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trend:</w:t>
      </w:r>
      <w:r>
        <w:rPr>
          <w:spacing w:val="-8"/>
          <w:sz w:val="24"/>
        </w:rPr>
        <w:t> </w:t>
      </w:r>
      <w:r>
        <w:rPr>
          <w:sz w:val="24"/>
        </w:rPr>
        <w:t>Monthly</w:t>
      </w:r>
      <w:r>
        <w:rPr>
          <w:spacing w:val="-12"/>
          <w:sz w:val="24"/>
        </w:rPr>
        <w:t> </w:t>
      </w:r>
      <w:r>
        <w:rPr>
          <w:sz w:val="24"/>
        </w:rPr>
        <w:t>&gt;</w:t>
      </w:r>
      <w:r>
        <w:rPr>
          <w:spacing w:val="-10"/>
          <w:sz w:val="24"/>
        </w:rPr>
        <w:t> </w:t>
      </w:r>
      <w:r>
        <w:rPr>
          <w:sz w:val="24"/>
        </w:rPr>
        <w:t>Weekly</w:t>
      </w:r>
    </w:p>
    <w:p>
      <w:pPr>
        <w:pStyle w:val="BodyText"/>
        <w:spacing w:before="70"/>
        <w:ind w:left="851"/>
      </w:pPr>
      <w:r>
        <w:rPr/>
        <w:t>&gt;</w:t>
      </w:r>
      <w:r>
        <w:rPr>
          <w:spacing w:val="-4"/>
        </w:rPr>
        <w:t> </w:t>
      </w:r>
      <w:r>
        <w:rPr/>
        <w:t>Daily.</w:t>
      </w:r>
    </w:p>
    <w:p>
      <w:pPr>
        <w:pStyle w:val="ListParagraph"/>
        <w:numPr>
          <w:ilvl w:val="0"/>
          <w:numId w:val="9"/>
        </w:numPr>
        <w:tabs>
          <w:tab w:pos="851" w:val="left" w:leader="none"/>
          <w:tab w:pos="852" w:val="left" w:leader="none"/>
        </w:tabs>
        <w:spacing w:line="240" w:lineRule="auto" w:before="67" w:after="0"/>
        <w:ind w:left="85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standard</w:t>
      </w:r>
      <w:r>
        <w:rPr>
          <w:spacing w:val="1"/>
          <w:sz w:val="24"/>
        </w:rPr>
        <w:t> </w:t>
      </w:r>
      <w:r>
        <w:rPr>
          <w:sz w:val="24"/>
        </w:rPr>
        <w:t>deviation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risk-adjusted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unadjusted</w:t>
      </w:r>
      <w:r>
        <w:rPr>
          <w:spacing w:val="2"/>
          <w:sz w:val="24"/>
        </w:rPr>
        <w:t> </w:t>
      </w:r>
      <w:r>
        <w:rPr>
          <w:sz w:val="24"/>
        </w:rPr>
        <w:t>returns</w:t>
      </w:r>
      <w:r>
        <w:rPr>
          <w:spacing w:val="2"/>
          <w:sz w:val="24"/>
        </w:rPr>
        <w:t> </w:t>
      </w:r>
      <w:r>
        <w:rPr>
          <w:sz w:val="24"/>
        </w:rPr>
        <w:t>follows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trend:</w:t>
      </w:r>
      <w:r>
        <w:rPr>
          <w:spacing w:val="2"/>
          <w:sz w:val="24"/>
        </w:rPr>
        <w:t> </w:t>
      </w:r>
      <w:r>
        <w:rPr>
          <w:sz w:val="24"/>
        </w:rPr>
        <w:t>Monthly</w:t>
      </w:r>
    </w:p>
    <w:p>
      <w:pPr>
        <w:pStyle w:val="BodyText"/>
        <w:spacing w:before="69"/>
        <w:ind w:left="851"/>
      </w:pPr>
      <w:r>
        <w:rPr/>
        <w:t>&gt;</w:t>
      </w:r>
      <w:r>
        <w:rPr>
          <w:spacing w:val="-2"/>
        </w:rPr>
        <w:t> </w:t>
      </w:r>
      <w:r>
        <w:rPr/>
        <w:t>Weekly</w:t>
      </w:r>
      <w:r>
        <w:rPr>
          <w:spacing w:val="-3"/>
        </w:rPr>
        <w:t> </w:t>
      </w:r>
      <w:r>
        <w:rPr/>
        <w:t>&gt;</w:t>
      </w:r>
      <w:r>
        <w:rPr>
          <w:spacing w:val="-1"/>
        </w:rPr>
        <w:t> </w:t>
      </w:r>
      <w:r>
        <w:rPr/>
        <w:t>Daily.</w:t>
      </w:r>
    </w:p>
    <w:p>
      <w:pPr>
        <w:pStyle w:val="ListParagraph"/>
        <w:numPr>
          <w:ilvl w:val="0"/>
          <w:numId w:val="9"/>
        </w:numPr>
        <w:tabs>
          <w:tab w:pos="851" w:val="left" w:leader="none"/>
          <w:tab w:pos="852" w:val="left" w:leader="none"/>
        </w:tabs>
        <w:spacing w:line="300" w:lineRule="auto" w:before="70" w:after="0"/>
        <w:ind w:left="851" w:right="677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risk-</w:t>
      </w:r>
      <w:r>
        <w:rPr>
          <w:spacing w:val="-1"/>
          <w:sz w:val="24"/>
        </w:rPr>
        <w:t> </w:t>
      </w:r>
      <w:r>
        <w:rPr>
          <w:sz w:val="24"/>
        </w:rPr>
        <w:t>unadjusted</w:t>
      </w:r>
      <w:r>
        <w:rPr>
          <w:spacing w:val="-1"/>
          <w:sz w:val="24"/>
        </w:rPr>
        <w:t> </w:t>
      </w:r>
      <w:r>
        <w:rPr>
          <w:sz w:val="24"/>
        </w:rPr>
        <w:t>returns, Sharpe</w:t>
      </w:r>
      <w:r>
        <w:rPr>
          <w:spacing w:val="-3"/>
          <w:sz w:val="24"/>
        </w:rPr>
        <w:t> </w:t>
      </w:r>
      <w:r>
        <w:rPr>
          <w:sz w:val="24"/>
        </w:rPr>
        <w:t>Ratio follows</w:t>
      </w:r>
      <w:r>
        <w:rPr>
          <w:spacing w:val="-1"/>
          <w:sz w:val="24"/>
        </w:rPr>
        <w:t> </w:t>
      </w:r>
      <w:r>
        <w:rPr>
          <w:sz w:val="24"/>
        </w:rPr>
        <w:t>the trend:</w:t>
      </w:r>
      <w:r>
        <w:rPr>
          <w:spacing w:val="-1"/>
          <w:sz w:val="24"/>
        </w:rPr>
        <w:t> </w:t>
      </w:r>
      <w:r>
        <w:rPr>
          <w:sz w:val="24"/>
        </w:rPr>
        <w:t>Monthly</w:t>
      </w:r>
      <w:r>
        <w:rPr>
          <w:spacing w:val="-5"/>
          <w:sz w:val="24"/>
        </w:rPr>
        <w:t> </w:t>
      </w:r>
      <w:r>
        <w:rPr>
          <w:sz w:val="24"/>
        </w:rPr>
        <w:t>&gt;</w:t>
      </w:r>
      <w:r>
        <w:rPr>
          <w:spacing w:val="-2"/>
          <w:sz w:val="24"/>
        </w:rPr>
        <w:t> </w:t>
      </w:r>
      <w:r>
        <w:rPr>
          <w:sz w:val="24"/>
        </w:rPr>
        <w:t>Weekly</w:t>
      </w:r>
      <w:r>
        <w:rPr>
          <w:spacing w:val="-3"/>
          <w:sz w:val="24"/>
        </w:rPr>
        <w:t> </w:t>
      </w:r>
      <w:r>
        <w:rPr>
          <w:sz w:val="24"/>
        </w:rPr>
        <w:t>&gt;</w:t>
      </w:r>
      <w:r>
        <w:rPr>
          <w:spacing w:val="-2"/>
          <w:sz w:val="24"/>
        </w:rPr>
        <w:t> </w:t>
      </w:r>
      <w:r>
        <w:rPr>
          <w:sz w:val="24"/>
        </w:rPr>
        <w:t>Daily.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2"/>
          <w:sz w:val="24"/>
        </w:rPr>
        <w:t> </w:t>
      </w:r>
      <w:r>
        <w:rPr>
          <w:sz w:val="24"/>
        </w:rPr>
        <w:t>pattern is observed for</w:t>
      </w:r>
      <w:r>
        <w:rPr>
          <w:spacing w:val="-2"/>
          <w:sz w:val="24"/>
        </w:rPr>
        <w:t> </w:t>
      </w:r>
      <w:r>
        <w:rPr>
          <w:sz w:val="24"/>
        </w:rPr>
        <w:t>risk-adjusted returns</w:t>
      </w:r>
      <w:r>
        <w:rPr>
          <w:spacing w:val="-1"/>
          <w:sz w:val="24"/>
        </w:rPr>
        <w:t> </w:t>
      </w:r>
      <w:r>
        <w:rPr>
          <w:sz w:val="24"/>
        </w:rPr>
        <w:t>as well.</w:t>
      </w:r>
    </w:p>
    <w:p>
      <w:pPr>
        <w:pStyle w:val="BodyText"/>
        <w:spacing w:before="6"/>
        <w:rPr>
          <w:sz w:val="30"/>
        </w:rPr>
      </w:pPr>
    </w:p>
    <w:p>
      <w:pPr>
        <w:pStyle w:val="Heading2"/>
        <w:spacing w:before="1"/>
      </w:pPr>
      <w:r>
        <w:rPr/>
        <w:t>Actions</w:t>
      </w:r>
    </w:p>
    <w:p>
      <w:pPr>
        <w:pStyle w:val="ListParagraph"/>
        <w:numPr>
          <w:ilvl w:val="0"/>
          <w:numId w:val="9"/>
        </w:numPr>
        <w:tabs>
          <w:tab w:pos="852" w:val="left" w:leader="none"/>
        </w:tabs>
        <w:spacing w:line="240" w:lineRule="auto" w:before="80" w:after="0"/>
        <w:ind w:left="851" w:right="0" w:hanging="361"/>
        <w:jc w:val="both"/>
        <w:rPr>
          <w:sz w:val="24"/>
        </w:rPr>
      </w:pP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loving</w:t>
      </w:r>
      <w:r>
        <w:rPr>
          <w:spacing w:val="-2"/>
          <w:sz w:val="24"/>
        </w:rPr>
        <w:t> </w:t>
      </w:r>
      <w:r>
        <w:rPr>
          <w:sz w:val="24"/>
        </w:rPr>
        <w:t>investors can</w:t>
      </w:r>
      <w:r>
        <w:rPr>
          <w:spacing w:val="1"/>
          <w:sz w:val="24"/>
        </w:rPr>
        <w:t> </w:t>
      </w:r>
      <w:r>
        <w:rPr>
          <w:sz w:val="24"/>
        </w:rPr>
        <w:t>aim for</w:t>
      </w:r>
      <w:r>
        <w:rPr>
          <w:spacing w:val="-2"/>
          <w:sz w:val="24"/>
        </w:rPr>
        <w:t> </w:t>
      </w:r>
      <w:r>
        <w:rPr>
          <w:sz w:val="24"/>
        </w:rPr>
        <w:t>monthly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yearly</w:t>
      </w:r>
      <w:r>
        <w:rPr>
          <w:spacing w:val="-3"/>
          <w:sz w:val="24"/>
        </w:rPr>
        <w:t> </w:t>
      </w:r>
      <w:r>
        <w:rPr>
          <w:sz w:val="24"/>
        </w:rPr>
        <w:t>investments.</w:t>
      </w:r>
    </w:p>
    <w:p>
      <w:pPr>
        <w:pStyle w:val="ListParagraph"/>
        <w:numPr>
          <w:ilvl w:val="0"/>
          <w:numId w:val="9"/>
        </w:numPr>
        <w:tabs>
          <w:tab w:pos="852" w:val="left" w:leader="none"/>
        </w:tabs>
        <w:spacing w:line="240" w:lineRule="auto" w:before="67" w:after="0"/>
        <w:ind w:left="851" w:right="0" w:hanging="361"/>
        <w:jc w:val="both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observe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 risk-adjusted</w:t>
      </w:r>
      <w:r>
        <w:rPr>
          <w:spacing w:val="-1"/>
          <w:sz w:val="24"/>
        </w:rPr>
        <w:t> </w:t>
      </w:r>
      <w:r>
        <w:rPr>
          <w:sz w:val="24"/>
        </w:rPr>
        <w:t>return</w:t>
      </w:r>
      <w:r>
        <w:rPr>
          <w:spacing w:val="-1"/>
          <w:sz w:val="24"/>
        </w:rPr>
        <w:t> </w:t>
      </w:r>
      <w:r>
        <w:rPr>
          <w:sz w:val="24"/>
        </w:rPr>
        <w:t>rises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increasing</w:t>
      </w:r>
      <w:r>
        <w:rPr>
          <w:spacing w:val="-4"/>
          <w:sz w:val="24"/>
        </w:rPr>
        <w:t> </w:t>
      </w:r>
      <w:r>
        <w:rPr>
          <w:sz w:val="24"/>
        </w:rPr>
        <w:t>risk.</w:t>
      </w:r>
    </w:p>
    <w:p>
      <w:pPr>
        <w:pStyle w:val="ListParagraph"/>
        <w:numPr>
          <w:ilvl w:val="1"/>
          <w:numId w:val="9"/>
        </w:numPr>
        <w:tabs>
          <w:tab w:pos="1572" w:val="left" w:leader="none"/>
        </w:tabs>
        <w:spacing w:line="300" w:lineRule="auto" w:before="70" w:after="0"/>
        <w:ind w:left="1571" w:right="452" w:hanging="360"/>
        <w:jc w:val="both"/>
        <w:rPr>
          <w:sz w:val="24"/>
        </w:rPr>
      </w:pPr>
      <w:r>
        <w:rPr>
          <w:sz w:val="24"/>
        </w:rPr>
        <w:t>Thus,</w:t>
      </w:r>
      <w:r>
        <w:rPr>
          <w:spacing w:val="-12"/>
          <w:sz w:val="24"/>
        </w:rPr>
        <w:t> </w:t>
      </w:r>
      <w:r>
        <w:rPr>
          <w:sz w:val="24"/>
        </w:rPr>
        <w:t>after</w:t>
      </w:r>
      <w:r>
        <w:rPr>
          <w:spacing w:val="-13"/>
          <w:sz w:val="24"/>
        </w:rPr>
        <w:t> </w:t>
      </w:r>
      <w:r>
        <w:rPr>
          <w:sz w:val="24"/>
        </w:rPr>
        <w:t>adjusting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risk,</w:t>
      </w:r>
      <w:r>
        <w:rPr>
          <w:spacing w:val="-11"/>
          <w:sz w:val="24"/>
        </w:rPr>
        <w:t> </w:t>
      </w:r>
      <w:r>
        <w:rPr>
          <w:sz w:val="24"/>
        </w:rPr>
        <w:t>it</w:t>
      </w:r>
      <w:r>
        <w:rPr>
          <w:spacing w:val="-12"/>
          <w:sz w:val="24"/>
        </w:rPr>
        <w:t> </w:t>
      </w:r>
      <w:r>
        <w:rPr>
          <w:sz w:val="24"/>
        </w:rPr>
        <w:t>may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3"/>
          <w:sz w:val="24"/>
        </w:rPr>
        <w:t> </w:t>
      </w:r>
      <w:r>
        <w:rPr>
          <w:sz w:val="24"/>
        </w:rPr>
        <w:t>best</w:t>
      </w:r>
      <w:r>
        <w:rPr>
          <w:spacing w:val="-12"/>
          <w:sz w:val="24"/>
        </w:rPr>
        <w:t> </w:t>
      </w:r>
      <w:r>
        <w:rPr>
          <w:sz w:val="24"/>
        </w:rPr>
        <w:t>suited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go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longer-term</w:t>
      </w:r>
      <w:r>
        <w:rPr>
          <w:spacing w:val="-13"/>
          <w:sz w:val="24"/>
        </w:rPr>
        <w:t> </w:t>
      </w:r>
      <w:r>
        <w:rPr>
          <w:sz w:val="24"/>
        </w:rPr>
        <w:t>positions</w:t>
      </w:r>
      <w:r>
        <w:rPr>
          <w:spacing w:val="-57"/>
          <w:sz w:val="24"/>
        </w:rPr>
        <w:t> </w:t>
      </w:r>
      <w:r>
        <w:rPr>
          <w:sz w:val="24"/>
        </w:rPr>
        <w:t>in Cholamandalam Investment and Finance Ltd shares and avoid short term trades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intraday.</w:t>
      </w:r>
    </w:p>
    <w:p>
      <w:pPr>
        <w:pStyle w:val="ListParagraph"/>
        <w:numPr>
          <w:ilvl w:val="1"/>
          <w:numId w:val="9"/>
        </w:numPr>
        <w:tabs>
          <w:tab w:pos="1632" w:val="left" w:leader="none"/>
        </w:tabs>
        <w:spacing w:line="300" w:lineRule="auto" w:before="0" w:after="0"/>
        <w:ind w:left="1571" w:right="465" w:hanging="360"/>
        <w:jc w:val="both"/>
        <w:rPr>
          <w:sz w:val="24"/>
        </w:rPr>
      </w:pPr>
      <w:r>
        <w:rPr/>
        <w:tab/>
      </w:r>
      <w:r>
        <w:rPr>
          <w:sz w:val="24"/>
        </w:rPr>
        <w:t>Given the recent financials and position of this firm in the sector, it may be safe to</w:t>
      </w:r>
      <w:r>
        <w:rPr>
          <w:spacing w:val="-57"/>
          <w:sz w:val="24"/>
        </w:rPr>
        <w:t> </w:t>
      </w:r>
      <w:r>
        <w:rPr>
          <w:sz w:val="24"/>
        </w:rPr>
        <w:t>take</w:t>
      </w:r>
      <w:r>
        <w:rPr>
          <w:spacing w:val="-3"/>
          <w:sz w:val="24"/>
        </w:rPr>
        <w:t> </w:t>
      </w:r>
      <w:r>
        <w:rPr>
          <w:sz w:val="24"/>
        </w:rPr>
        <w:t>the calculated risk of going</w:t>
      </w:r>
      <w:r>
        <w:rPr>
          <w:spacing w:val="-3"/>
          <w:sz w:val="24"/>
        </w:rPr>
        <w:t> </w:t>
      </w:r>
      <w:r>
        <w:rPr>
          <w:sz w:val="24"/>
        </w:rPr>
        <w:t>for long</w:t>
      </w:r>
      <w:r>
        <w:rPr>
          <w:spacing w:val="-3"/>
          <w:sz w:val="24"/>
        </w:rPr>
        <w:t> </w:t>
      </w:r>
      <w:r>
        <w:rPr>
          <w:sz w:val="24"/>
        </w:rPr>
        <w:t>term positions.</w:t>
      </w:r>
    </w:p>
    <w:p>
      <w:pPr>
        <w:pStyle w:val="ListParagraph"/>
        <w:numPr>
          <w:ilvl w:val="0"/>
          <w:numId w:val="9"/>
        </w:numPr>
        <w:tabs>
          <w:tab w:pos="852" w:val="left" w:leader="none"/>
        </w:tabs>
        <w:spacing w:line="300" w:lineRule="auto" w:before="1" w:after="0"/>
        <w:ind w:left="851" w:right="460" w:hanging="360"/>
        <w:jc w:val="both"/>
        <w:rPr>
          <w:sz w:val="24"/>
        </w:rPr>
      </w:pPr>
      <w:r>
        <w:rPr>
          <w:sz w:val="24"/>
        </w:rPr>
        <w:t>Risk-averse investors can opt for investment in the spot market as the daily returns have</w:t>
      </w:r>
      <w:r>
        <w:rPr>
          <w:spacing w:val="1"/>
          <w:sz w:val="24"/>
        </w:rPr>
        <w:t> </w:t>
      </w:r>
      <w:r>
        <w:rPr>
          <w:sz w:val="24"/>
        </w:rPr>
        <w:t>minimum risk compared to weekly</w:t>
      </w:r>
      <w:r>
        <w:rPr>
          <w:spacing w:val="-5"/>
          <w:sz w:val="24"/>
        </w:rPr>
        <w:t> </w:t>
      </w:r>
      <w:r>
        <w:rPr>
          <w:sz w:val="24"/>
        </w:rPr>
        <w:t>or monthly</w:t>
      </w:r>
      <w:r>
        <w:rPr>
          <w:spacing w:val="-5"/>
          <w:sz w:val="24"/>
        </w:rPr>
        <w:t> </w:t>
      </w:r>
      <w:r>
        <w:rPr>
          <w:sz w:val="24"/>
        </w:rPr>
        <w:t>trends.</w:t>
      </w:r>
    </w:p>
    <w:p>
      <w:pPr>
        <w:pStyle w:val="ListParagraph"/>
        <w:numPr>
          <w:ilvl w:val="0"/>
          <w:numId w:val="9"/>
        </w:numPr>
        <w:tabs>
          <w:tab w:pos="852" w:val="left" w:leader="none"/>
        </w:tabs>
        <w:spacing w:line="300" w:lineRule="auto" w:before="0" w:after="0"/>
        <w:ind w:left="851" w:right="458" w:hanging="360"/>
        <w:jc w:val="both"/>
        <w:rPr>
          <w:sz w:val="24"/>
        </w:rPr>
      </w:pPr>
      <w:r>
        <w:rPr>
          <w:sz w:val="24"/>
        </w:rPr>
        <w:t>Based on the Sharpe ratio calculations, it is advisable to invest long-term in the CIFLC</w:t>
      </w:r>
      <w:r>
        <w:rPr>
          <w:spacing w:val="1"/>
          <w:sz w:val="24"/>
        </w:rPr>
        <w:t> </w:t>
      </w:r>
      <w:r>
        <w:rPr>
          <w:sz w:val="24"/>
        </w:rPr>
        <w:t>shares.</w:t>
      </w:r>
    </w:p>
    <w:p>
      <w:pPr>
        <w:pStyle w:val="BodyText"/>
        <w:spacing w:before="3"/>
        <w:rPr>
          <w:sz w:val="35"/>
        </w:rPr>
      </w:pPr>
    </w:p>
    <w:p>
      <w:pPr>
        <w:pStyle w:val="Heading1"/>
        <w:spacing w:before="0"/>
        <w:ind w:right="636"/>
        <w:rPr>
          <w:u w:val="none"/>
        </w:rPr>
      </w:pPr>
      <w:bookmarkStart w:name="_bookmark13" w:id="23"/>
      <w:bookmarkEnd w:id="23"/>
      <w:r>
        <w:rPr>
          <w:b w:val="0"/>
          <w:u w:val="none"/>
        </w:rPr>
      </w:r>
      <w:r>
        <w:rPr>
          <w:u w:val="thick"/>
        </w:rPr>
        <w:t>SECTION</w:t>
      </w:r>
      <w:r>
        <w:rPr>
          <w:spacing w:val="-1"/>
          <w:u w:val="thick"/>
        </w:rPr>
        <w:t> </w:t>
      </w:r>
      <w:r>
        <w:rPr>
          <w:u w:val="thick"/>
        </w:rPr>
        <w:t>-</w:t>
      </w:r>
      <w:r>
        <w:rPr>
          <w:spacing w:val="-4"/>
          <w:u w:val="thick"/>
        </w:rPr>
        <w:t> </w:t>
      </w:r>
      <w:r>
        <w:rPr>
          <w:u w:val="thick"/>
        </w:rPr>
        <w:t>2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Heading3"/>
        <w:numPr>
          <w:ilvl w:val="1"/>
          <w:numId w:val="10"/>
        </w:numPr>
        <w:tabs>
          <w:tab w:pos="552" w:val="left" w:leader="none"/>
        </w:tabs>
        <w:spacing w:line="240" w:lineRule="auto" w:before="89" w:after="0"/>
        <w:ind w:left="551" w:right="0" w:hanging="421"/>
        <w:jc w:val="left"/>
      </w:pPr>
      <w:bookmarkStart w:name="_bookmark14" w:id="24"/>
      <w:bookmarkEnd w:id="24"/>
      <w:r>
        <w:rPr>
          <w:b w:val="0"/>
        </w:rPr>
      </w:r>
      <w:bookmarkStart w:name="_bookmark14" w:id="25"/>
      <w:bookmarkEnd w:id="25"/>
      <w:r>
        <w:rPr/>
        <w:t>I</w:t>
      </w:r>
      <w:r>
        <w:rPr/>
        <w:t>ntroduction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Equity</w:t>
      </w:r>
      <w:r>
        <w:rPr>
          <w:spacing w:val="-1"/>
        </w:rPr>
        <w:t> </w:t>
      </w:r>
      <w:r>
        <w:rPr/>
        <w:t>Futures</w:t>
      </w:r>
      <w:r>
        <w:rPr>
          <w:spacing w:val="-1"/>
        </w:rPr>
        <w:t> </w:t>
      </w:r>
      <w:r>
        <w:rPr/>
        <w:t>Instrument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Heading3"/>
        <w:numPr>
          <w:ilvl w:val="2"/>
          <w:numId w:val="10"/>
        </w:numPr>
        <w:tabs>
          <w:tab w:pos="763" w:val="left" w:leader="none"/>
        </w:tabs>
        <w:spacing w:line="240" w:lineRule="auto" w:before="0" w:after="0"/>
        <w:ind w:left="762" w:right="0" w:hanging="632"/>
        <w:jc w:val="left"/>
        <w:rPr>
          <w:color w:val="434343"/>
        </w:rPr>
      </w:pPr>
      <w:bookmarkStart w:name="_bookmark15" w:id="26"/>
      <w:bookmarkEnd w:id="26"/>
      <w:r>
        <w:rPr>
          <w:b w:val="0"/>
        </w:rPr>
      </w:r>
      <w:bookmarkStart w:name="_bookmark15" w:id="27"/>
      <w:bookmarkEnd w:id="27"/>
      <w:r>
        <w:rPr>
          <w:color w:val="434343"/>
        </w:rPr>
        <w:t>In</w:t>
      </w:r>
      <w:r>
        <w:rPr>
          <w:color w:val="434343"/>
        </w:rPr>
        <w:t>troduction</w:t>
      </w:r>
    </w:p>
    <w:p>
      <w:pPr>
        <w:pStyle w:val="BodyText"/>
        <w:spacing w:line="300" w:lineRule="auto" w:before="243"/>
        <w:ind w:left="112" w:right="456"/>
        <w:jc w:val="both"/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trading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derivatives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started</w:t>
      </w:r>
      <w:r>
        <w:rPr>
          <w:spacing w:val="-11"/>
        </w:rPr>
        <w:t> </w:t>
      </w:r>
      <w:r>
        <w:rPr/>
        <w:t>by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National</w:t>
      </w:r>
      <w:r>
        <w:rPr>
          <w:spacing w:val="-10"/>
        </w:rPr>
        <w:t> </w:t>
      </w:r>
      <w:r>
        <w:rPr/>
        <w:t>Stock</w:t>
      </w:r>
      <w:r>
        <w:rPr>
          <w:spacing w:val="-10"/>
        </w:rPr>
        <w:t> </w:t>
      </w:r>
      <w:r>
        <w:rPr/>
        <w:t>Exchange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India</w:t>
      </w:r>
      <w:r>
        <w:rPr>
          <w:spacing w:val="-9"/>
        </w:rPr>
        <w:t> </w:t>
      </w:r>
      <w:r>
        <w:rPr/>
        <w:t>Limited</w:t>
      </w:r>
      <w:r>
        <w:rPr>
          <w:spacing w:val="-8"/>
        </w:rPr>
        <w:t> </w:t>
      </w:r>
      <w:r>
        <w:rPr/>
        <w:t>(NSE),</w:t>
      </w:r>
      <w:r>
        <w:rPr>
          <w:spacing w:val="-9"/>
        </w:rPr>
        <w:t> </w:t>
      </w:r>
      <w:r>
        <w:rPr/>
        <w:t>with</w:t>
      </w:r>
      <w:r>
        <w:rPr>
          <w:spacing w:val="-58"/>
        </w:rPr>
        <w:t> </w:t>
      </w:r>
      <w:r>
        <w:rPr/>
        <w:t>the</w:t>
      </w:r>
      <w:r>
        <w:rPr>
          <w:spacing w:val="-4"/>
        </w:rPr>
        <w:t> </w:t>
      </w:r>
      <w:r>
        <w:rPr/>
        <w:t>launch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index</w:t>
      </w:r>
      <w:r>
        <w:rPr>
          <w:spacing w:val="-1"/>
        </w:rPr>
        <w:t> </w:t>
      </w:r>
      <w:r>
        <w:rPr/>
        <w:t>futures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June</w:t>
      </w:r>
      <w:r>
        <w:rPr>
          <w:spacing w:val="-4"/>
        </w:rPr>
        <w:t> </w:t>
      </w:r>
      <w:r>
        <w:rPr/>
        <w:t>12</w:t>
      </w:r>
      <w:r>
        <w:rPr>
          <w:spacing w:val="-3"/>
        </w:rPr>
        <w:t> </w:t>
      </w:r>
      <w:r>
        <w:rPr/>
        <w:t>2000.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futures</w:t>
      </w:r>
      <w:r>
        <w:rPr>
          <w:spacing w:val="-3"/>
        </w:rPr>
        <w:t> </w:t>
      </w:r>
      <w:r>
        <w:rPr/>
        <w:t>contracts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Nifty</w:t>
      </w:r>
      <w:r>
        <w:rPr>
          <w:spacing w:val="-8"/>
        </w:rPr>
        <w:t> </w:t>
      </w:r>
      <w:r>
        <w:rPr/>
        <w:t>50</w:t>
      </w:r>
      <w:r>
        <w:rPr>
          <w:spacing w:val="2"/>
        </w:rPr>
        <w:t> </w:t>
      </w:r>
      <w:r>
        <w:rPr/>
        <w:t>Index,</w:t>
      </w:r>
      <w:r>
        <w:rPr>
          <w:spacing w:val="-57"/>
        </w:rPr>
        <w:t> </w:t>
      </w:r>
      <w:r>
        <w:rPr/>
        <w:t>a popular benchmark. The trading in Index Futures and Options (both based on Nifty 50) on</w:t>
      </w:r>
      <w:r>
        <w:rPr>
          <w:spacing w:val="1"/>
        </w:rPr>
        <w:t> </w:t>
      </w:r>
      <w:r>
        <w:rPr/>
        <w:t>individual securities was launched on November 9, 2001, and June 4, 2001, respectively. Futures</w:t>
      </w:r>
      <w:r>
        <w:rPr>
          <w:spacing w:val="1"/>
        </w:rPr>
        <w:t> </w:t>
      </w:r>
      <w:r>
        <w:rPr/>
        <w:t>and Options contracts on individual securities are available on more than 100 securities in 3</w:t>
      </w:r>
      <w:r>
        <w:rPr>
          <w:spacing w:val="1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indices,</w:t>
      </w:r>
      <w:r>
        <w:rPr>
          <w:spacing w:val="-1"/>
        </w:rPr>
        <w:t> </w:t>
      </w:r>
      <w:r>
        <w:rPr/>
        <w:t>specified by</w:t>
      </w:r>
      <w:r>
        <w:rPr>
          <w:spacing w:val="-6"/>
        </w:rPr>
        <w:t> </w:t>
      </w:r>
      <w:r>
        <w:rPr/>
        <w:t>the Securities</w:t>
      </w:r>
      <w:r>
        <w:rPr>
          <w:spacing w:val="-1"/>
        </w:rPr>
        <w:t> </w:t>
      </w:r>
      <w:r>
        <w:rPr/>
        <w:t>and</w:t>
      </w:r>
      <w:r>
        <w:rPr>
          <w:spacing w:val="4"/>
        </w:rPr>
        <w:t> </w:t>
      </w:r>
      <w:r>
        <w:rPr/>
        <w:t>Exchange Board of</w:t>
      </w:r>
      <w:r>
        <w:rPr>
          <w:spacing w:val="-1"/>
        </w:rPr>
        <w:t> </w:t>
      </w:r>
      <w:r>
        <w:rPr/>
        <w:t>India</w:t>
      </w:r>
      <w:r>
        <w:rPr>
          <w:spacing w:val="1"/>
        </w:rPr>
        <w:t> </w:t>
      </w:r>
      <w:r>
        <w:rPr/>
        <w:t>(SEBI).</w:t>
      </w:r>
    </w:p>
    <w:p>
      <w:pPr>
        <w:spacing w:after="0" w:line="300" w:lineRule="auto"/>
        <w:jc w:val="both"/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spacing w:before="86"/>
        <w:ind w:left="131"/>
        <w:jc w:val="left"/>
      </w:pPr>
      <w:r>
        <w:rPr/>
        <w:t>Futures</w:t>
      </w:r>
      <w:r>
        <w:rPr>
          <w:spacing w:val="-1"/>
        </w:rPr>
        <w:t> </w:t>
      </w:r>
      <w:r>
        <w:rPr/>
        <w:t>Contract</w:t>
      </w:r>
      <w:r>
        <w:rPr>
          <w:spacing w:val="-2"/>
        </w:rPr>
        <w:t> </w:t>
      </w:r>
      <w:r>
        <w:rPr/>
        <w:t>Details: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1"/>
        </w:rPr>
      </w:pPr>
    </w:p>
    <w:tbl>
      <w:tblPr>
        <w:tblW w:w="0" w:type="auto"/>
        <w:jc w:val="left"/>
        <w:tblInd w:w="9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4890"/>
      </w:tblGrid>
      <w:tr>
        <w:trPr>
          <w:trHeight w:val="719" w:hRule="atLeast"/>
        </w:trPr>
        <w:tc>
          <w:tcPr>
            <w:tcW w:w="2912" w:type="dxa"/>
            <w:shd w:val="clear" w:color="auto" w:fill="FF9900"/>
          </w:tcPr>
          <w:p>
            <w:pPr>
              <w:pStyle w:val="TableParagraph"/>
              <w:spacing w:before="99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Ticker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Symbol-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NSE</w:t>
            </w:r>
          </w:p>
        </w:tc>
        <w:tc>
          <w:tcPr>
            <w:tcW w:w="4890" w:type="dxa"/>
            <w:shd w:val="clear" w:color="auto" w:fill="D9D9D9"/>
          </w:tcPr>
          <w:p>
            <w:pPr>
              <w:pStyle w:val="TableParagraph"/>
              <w:spacing w:before="94"/>
              <w:ind w:left="97"/>
              <w:jc w:val="left"/>
              <w:rPr>
                <w:sz w:val="24"/>
              </w:rPr>
            </w:pPr>
            <w:r>
              <w:rPr>
                <w:sz w:val="24"/>
              </w:rPr>
              <w:t>CHOLAFIN</w:t>
            </w:r>
          </w:p>
        </w:tc>
      </w:tr>
      <w:tr>
        <w:trPr>
          <w:trHeight w:val="652" w:hRule="atLeast"/>
        </w:trPr>
        <w:tc>
          <w:tcPr>
            <w:tcW w:w="2912" w:type="dxa"/>
            <w:shd w:val="clear" w:color="auto" w:fill="FF9900"/>
          </w:tcPr>
          <w:p>
            <w:pPr>
              <w:pStyle w:val="TableParagraph"/>
              <w:spacing w:before="78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Instrument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4890" w:type="dxa"/>
            <w:shd w:val="clear" w:color="auto" w:fill="D9D9D9"/>
          </w:tcPr>
          <w:p>
            <w:pPr>
              <w:pStyle w:val="TableParagraph"/>
              <w:spacing w:before="73"/>
              <w:ind w:left="97"/>
              <w:jc w:val="left"/>
              <w:rPr>
                <w:sz w:val="24"/>
              </w:rPr>
            </w:pPr>
            <w:r>
              <w:rPr>
                <w:sz w:val="24"/>
              </w:rPr>
              <w:t>FUTSTK</w:t>
            </w:r>
          </w:p>
        </w:tc>
      </w:tr>
      <w:tr>
        <w:trPr>
          <w:trHeight w:val="575" w:hRule="atLeast"/>
        </w:trPr>
        <w:tc>
          <w:tcPr>
            <w:tcW w:w="2912" w:type="dxa"/>
            <w:shd w:val="clear" w:color="auto" w:fill="FF9900"/>
          </w:tcPr>
          <w:p>
            <w:pPr>
              <w:pStyle w:val="TableParagraph"/>
              <w:spacing w:before="78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Underlying</w:t>
            </w:r>
          </w:p>
        </w:tc>
        <w:tc>
          <w:tcPr>
            <w:tcW w:w="4890" w:type="dxa"/>
            <w:shd w:val="clear" w:color="auto" w:fill="D9D9D9"/>
          </w:tcPr>
          <w:p>
            <w:pPr>
              <w:pStyle w:val="TableParagraph"/>
              <w:spacing w:before="73"/>
              <w:ind w:left="97"/>
              <w:jc w:val="left"/>
              <w:rPr>
                <w:sz w:val="24"/>
              </w:rPr>
            </w:pPr>
            <w:r>
              <w:rPr>
                <w:sz w:val="24"/>
              </w:rPr>
              <w:t>NIFTY</w:t>
            </w:r>
          </w:p>
        </w:tc>
      </w:tr>
      <w:tr>
        <w:trPr>
          <w:trHeight w:val="637" w:hRule="atLeast"/>
        </w:trPr>
        <w:tc>
          <w:tcPr>
            <w:tcW w:w="2912" w:type="dxa"/>
            <w:shd w:val="clear" w:color="auto" w:fill="FF9900"/>
          </w:tcPr>
          <w:p>
            <w:pPr>
              <w:pStyle w:val="TableParagraph"/>
              <w:spacing w:before="80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Trading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Cycle</w:t>
            </w:r>
          </w:p>
        </w:tc>
        <w:tc>
          <w:tcPr>
            <w:tcW w:w="4890" w:type="dxa"/>
            <w:shd w:val="clear" w:color="auto" w:fill="D9D9D9"/>
          </w:tcPr>
          <w:p>
            <w:pPr>
              <w:pStyle w:val="TableParagraph"/>
              <w:spacing w:before="75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Near, Next,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Months</w:t>
            </w:r>
          </w:p>
        </w:tc>
      </w:tr>
      <w:tr>
        <w:trPr>
          <w:trHeight w:val="683" w:hRule="atLeast"/>
        </w:trPr>
        <w:tc>
          <w:tcPr>
            <w:tcW w:w="2912" w:type="dxa"/>
            <w:shd w:val="clear" w:color="auto" w:fill="FF9900"/>
          </w:tcPr>
          <w:p>
            <w:pPr>
              <w:pStyle w:val="TableParagraph"/>
              <w:spacing w:before="81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Lot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4890" w:type="dxa"/>
            <w:shd w:val="clear" w:color="auto" w:fill="D9D9D9"/>
          </w:tcPr>
          <w:p>
            <w:pPr>
              <w:pStyle w:val="TableParagraph"/>
              <w:spacing w:before="76"/>
              <w:ind w:left="97"/>
              <w:jc w:val="left"/>
              <w:rPr>
                <w:sz w:val="24"/>
              </w:rPr>
            </w:pPr>
            <w:r>
              <w:rPr>
                <w:sz w:val="24"/>
              </w:rPr>
              <w:t>2500</w:t>
            </w:r>
          </w:p>
        </w:tc>
      </w:tr>
      <w:tr>
        <w:trPr>
          <w:trHeight w:val="894" w:hRule="atLeast"/>
        </w:trPr>
        <w:tc>
          <w:tcPr>
            <w:tcW w:w="2912" w:type="dxa"/>
            <w:shd w:val="clear" w:color="auto" w:fill="FF9900"/>
          </w:tcPr>
          <w:p>
            <w:pPr>
              <w:pStyle w:val="TableParagraph"/>
              <w:spacing w:before="78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Final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settlement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basis</w:t>
            </w:r>
          </w:p>
        </w:tc>
        <w:tc>
          <w:tcPr>
            <w:tcW w:w="4890" w:type="dxa"/>
            <w:shd w:val="clear" w:color="auto" w:fill="D9D9D9"/>
          </w:tcPr>
          <w:p>
            <w:pPr>
              <w:pStyle w:val="TableParagraph"/>
              <w:spacing w:line="278" w:lineRule="auto" w:before="73"/>
              <w:ind w:left="97" w:right="160"/>
              <w:jc w:val="left"/>
              <w:rPr>
                <w:sz w:val="24"/>
              </w:rPr>
            </w:pPr>
            <w:r>
              <w:rPr>
                <w:sz w:val="24"/>
              </w:rPr>
              <w:t>Based on the closing price of underlying Equity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last trading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contract</w:t>
            </w:r>
          </w:p>
        </w:tc>
      </w:tr>
      <w:tr>
        <w:trPr>
          <w:trHeight w:val="577" w:hRule="atLeast"/>
        </w:trPr>
        <w:tc>
          <w:tcPr>
            <w:tcW w:w="2912" w:type="dxa"/>
            <w:shd w:val="clear" w:color="auto" w:fill="FF9900"/>
          </w:tcPr>
          <w:p>
            <w:pPr>
              <w:pStyle w:val="TableParagraph"/>
              <w:spacing w:before="80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4890" w:type="dxa"/>
            <w:shd w:val="clear" w:color="auto" w:fill="D9D9D9"/>
          </w:tcPr>
          <w:p>
            <w:pPr>
              <w:pStyle w:val="TableParagraph"/>
              <w:spacing w:before="75"/>
              <w:ind w:left="97"/>
              <w:jc w:val="left"/>
              <w:rPr>
                <w:sz w:val="24"/>
              </w:rPr>
            </w:pPr>
            <w:r>
              <w:rPr>
                <w:sz w:val="24"/>
              </w:rPr>
              <w:t>0.05 INR</w:t>
            </w:r>
          </w:p>
        </w:tc>
      </w:tr>
      <w:tr>
        <w:trPr>
          <w:trHeight w:val="894" w:hRule="atLeast"/>
        </w:trPr>
        <w:tc>
          <w:tcPr>
            <w:tcW w:w="2912" w:type="dxa"/>
            <w:shd w:val="clear" w:color="auto" w:fill="FF9900"/>
          </w:tcPr>
          <w:p>
            <w:pPr>
              <w:pStyle w:val="TableParagraph"/>
              <w:spacing w:line="278" w:lineRule="auto" w:before="78"/>
              <w:ind w:left="100" w:right="59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Band operating price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range</w:t>
            </w:r>
          </w:p>
        </w:tc>
        <w:tc>
          <w:tcPr>
            <w:tcW w:w="4890" w:type="dxa"/>
            <w:shd w:val="clear" w:color="auto" w:fill="D9D9D9"/>
          </w:tcPr>
          <w:p>
            <w:pPr>
              <w:pStyle w:val="TableParagraph"/>
              <w:spacing w:before="73"/>
              <w:ind w:left="97"/>
              <w:jc w:val="left"/>
              <w:rPr>
                <w:sz w:val="24"/>
              </w:rPr>
            </w:pPr>
            <w:r>
              <w:rPr>
                <w:sz w:val="24"/>
              </w:rPr>
              <w:t>10%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price</w:t>
            </w:r>
          </w:p>
        </w:tc>
      </w:tr>
    </w:tbl>
    <w:p>
      <w:pPr>
        <w:spacing w:line="247" w:lineRule="exact" w:before="0"/>
        <w:ind w:left="1525" w:right="1849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6: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Future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contract Details</w:t>
      </w:r>
    </w:p>
    <w:p>
      <w:pPr>
        <w:pStyle w:val="BodyText"/>
        <w:spacing w:before="4"/>
        <w:rPr>
          <w:i/>
          <w:sz w:val="25"/>
        </w:rPr>
      </w:pPr>
    </w:p>
    <w:p>
      <w:pPr>
        <w:spacing w:before="0"/>
        <w:ind w:left="131" w:right="0" w:firstLine="0"/>
        <w:jc w:val="both"/>
        <w:rPr>
          <w:sz w:val="22"/>
        </w:rPr>
      </w:pPr>
      <w:r>
        <w:rPr>
          <w:sz w:val="22"/>
        </w:rPr>
        <w:t>*</w:t>
      </w:r>
      <w:r>
        <w:rPr>
          <w:spacing w:val="-1"/>
          <w:sz w:val="22"/>
        </w:rPr>
        <w:t> </w:t>
      </w:r>
      <w:r>
        <w:rPr>
          <w:sz w:val="22"/>
        </w:rPr>
        <w:t>If the</w:t>
      </w:r>
      <w:r>
        <w:rPr>
          <w:spacing w:val="-1"/>
          <w:sz w:val="22"/>
        </w:rPr>
        <w:t> </w:t>
      </w:r>
      <w:r>
        <w:rPr>
          <w:sz w:val="22"/>
        </w:rPr>
        <w:t>last</w:t>
      </w:r>
      <w:r>
        <w:rPr>
          <w:spacing w:val="-1"/>
          <w:sz w:val="22"/>
        </w:rPr>
        <w:t> </w:t>
      </w:r>
      <w:r>
        <w:rPr>
          <w:sz w:val="22"/>
        </w:rPr>
        <w:t>Thursday</w:t>
      </w:r>
      <w:r>
        <w:rPr>
          <w:spacing w:val="-3"/>
          <w:sz w:val="22"/>
        </w:rPr>
        <w:t> </w:t>
      </w:r>
      <w:r>
        <w:rPr>
          <w:sz w:val="22"/>
        </w:rPr>
        <w:t>in the</w:t>
      </w:r>
      <w:r>
        <w:rPr>
          <w:spacing w:val="-3"/>
          <w:sz w:val="22"/>
        </w:rPr>
        <w:t> </w:t>
      </w:r>
      <w:r>
        <w:rPr>
          <w:sz w:val="22"/>
        </w:rPr>
        <w:t>cycle is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trading</w:t>
      </w:r>
      <w:r>
        <w:rPr>
          <w:spacing w:val="-4"/>
          <w:sz w:val="22"/>
        </w:rPr>
        <w:t> </w:t>
      </w:r>
      <w:r>
        <w:rPr>
          <w:sz w:val="22"/>
        </w:rPr>
        <w:t>holiday, the</w:t>
      </w:r>
      <w:r>
        <w:rPr>
          <w:spacing w:val="-1"/>
          <w:sz w:val="22"/>
        </w:rPr>
        <w:t> </w:t>
      </w:r>
      <w:r>
        <w:rPr>
          <w:sz w:val="22"/>
        </w:rPr>
        <w:t>contract</w:t>
      </w:r>
      <w:r>
        <w:rPr>
          <w:spacing w:val="-2"/>
          <w:sz w:val="22"/>
        </w:rPr>
        <w:t> </w:t>
      </w:r>
      <w:r>
        <w:rPr>
          <w:sz w:val="22"/>
        </w:rPr>
        <w:t>expires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previous</w:t>
      </w:r>
      <w:r>
        <w:rPr>
          <w:spacing w:val="-2"/>
          <w:sz w:val="22"/>
        </w:rPr>
        <w:t> </w:t>
      </w:r>
      <w:r>
        <w:rPr>
          <w:sz w:val="22"/>
        </w:rPr>
        <w:t>trading</w:t>
      </w:r>
      <w:r>
        <w:rPr>
          <w:spacing w:val="-4"/>
          <w:sz w:val="22"/>
        </w:rPr>
        <w:t> </w:t>
      </w:r>
      <w:r>
        <w:rPr>
          <w:sz w:val="22"/>
        </w:rPr>
        <w:t>day.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2"/>
          <w:numId w:val="10"/>
        </w:numPr>
        <w:tabs>
          <w:tab w:pos="763" w:val="left" w:leader="none"/>
        </w:tabs>
        <w:spacing w:line="240" w:lineRule="auto" w:before="210" w:after="0"/>
        <w:ind w:left="762" w:right="0" w:hanging="632"/>
        <w:jc w:val="left"/>
        <w:rPr>
          <w:color w:val="434343"/>
        </w:rPr>
      </w:pPr>
      <w:bookmarkStart w:name="_bookmark16" w:id="28"/>
      <w:bookmarkEnd w:id="28"/>
      <w:r>
        <w:rPr>
          <w:b w:val="0"/>
        </w:rPr>
      </w:r>
      <w:bookmarkStart w:name="_bookmark16" w:id="29"/>
      <w:bookmarkEnd w:id="29"/>
      <w:r>
        <w:rPr>
          <w:color w:val="434343"/>
        </w:rPr>
        <w:t>O</w:t>
      </w:r>
      <w:r>
        <w:rPr>
          <w:color w:val="434343"/>
        </w:rPr>
        <w:t>verall</w:t>
      </w:r>
      <w:r>
        <w:rPr>
          <w:color w:val="434343"/>
          <w:spacing w:val="-2"/>
        </w:rPr>
        <w:t> </w:t>
      </w:r>
      <w:r>
        <w:rPr>
          <w:color w:val="434343"/>
        </w:rPr>
        <w:t>Greatness</w:t>
      </w:r>
      <w:r>
        <w:rPr>
          <w:color w:val="434343"/>
          <w:spacing w:val="-1"/>
        </w:rPr>
        <w:t> </w:t>
      </w:r>
      <w:r>
        <w:rPr>
          <w:color w:val="434343"/>
        </w:rPr>
        <w:t>of</w:t>
      </w:r>
      <w:r>
        <w:rPr>
          <w:color w:val="434343"/>
          <w:spacing w:val="-3"/>
        </w:rPr>
        <w:t> </w:t>
      </w:r>
      <w:r>
        <w:rPr>
          <w:color w:val="434343"/>
        </w:rPr>
        <w:t>the</w:t>
      </w:r>
      <w:r>
        <w:rPr>
          <w:color w:val="434343"/>
          <w:spacing w:val="-2"/>
        </w:rPr>
        <w:t> </w:t>
      </w:r>
      <w:r>
        <w:rPr>
          <w:color w:val="434343"/>
        </w:rPr>
        <w:t>Equity</w:t>
      </w:r>
      <w:r>
        <w:rPr>
          <w:color w:val="434343"/>
          <w:spacing w:val="-2"/>
        </w:rPr>
        <w:t> </w:t>
      </w:r>
      <w:r>
        <w:rPr>
          <w:color w:val="434343"/>
        </w:rPr>
        <w:t>Futures</w:t>
      </w:r>
      <w:r>
        <w:rPr>
          <w:color w:val="434343"/>
          <w:spacing w:val="-5"/>
        </w:rPr>
        <w:t> </w:t>
      </w:r>
      <w:r>
        <w:rPr>
          <w:color w:val="434343"/>
        </w:rPr>
        <w:t>Instrument:</w:t>
      </w:r>
    </w:p>
    <w:p>
      <w:pPr>
        <w:pStyle w:val="BodyText"/>
        <w:spacing w:before="8"/>
        <w:rPr>
          <w:b/>
        </w:rPr>
      </w:pPr>
    </w:p>
    <w:p>
      <w:pPr>
        <w:pStyle w:val="BodyText"/>
        <w:spacing w:line="276" w:lineRule="auto"/>
        <w:ind w:left="131" w:right="460"/>
        <w:jc w:val="both"/>
      </w:pPr>
      <w:r>
        <w:rPr/>
        <w:t>The equity futures instrument is an essential instrument used by investors to speculate on stock</w:t>
      </w:r>
      <w:r>
        <w:rPr>
          <w:spacing w:val="1"/>
        </w:rPr>
        <w:t> </w:t>
      </w:r>
      <w:r>
        <w:rPr/>
        <w:t>prices,</w:t>
      </w:r>
      <w:r>
        <w:rPr>
          <w:spacing w:val="-1"/>
        </w:rPr>
        <w:t> </w:t>
      </w:r>
      <w:r>
        <w:rPr/>
        <w:t>realise</w:t>
      </w:r>
      <w:r>
        <w:rPr>
          <w:spacing w:val="-1"/>
        </w:rPr>
        <w:t> </w:t>
      </w:r>
      <w:r>
        <w:rPr/>
        <w:t>profits, and reduce</w:t>
      </w:r>
      <w:r>
        <w:rPr>
          <w:spacing w:val="-1"/>
        </w:rPr>
        <w:t> </w:t>
      </w:r>
      <w:r>
        <w:rPr/>
        <w:t>their portfolio risk by</w:t>
      </w:r>
      <w:r>
        <w:rPr>
          <w:spacing w:val="-6"/>
        </w:rPr>
        <w:t> </w:t>
      </w:r>
      <w:r>
        <w:rPr/>
        <w:t>hedging</w:t>
      </w:r>
      <w:r>
        <w:rPr>
          <w:spacing w:val="-3"/>
        </w:rPr>
        <w:t> </w:t>
      </w:r>
      <w:r>
        <w:rPr/>
        <w:t>the portfolio.</w:t>
      </w:r>
    </w:p>
    <w:p>
      <w:pPr>
        <w:pStyle w:val="BodyText"/>
        <w:spacing w:before="7"/>
      </w:pPr>
    </w:p>
    <w:p>
      <w:pPr>
        <w:pStyle w:val="BodyText"/>
        <w:spacing w:line="273" w:lineRule="auto"/>
        <w:ind w:left="131" w:right="457"/>
        <w:jc w:val="both"/>
      </w:pPr>
      <w:r>
        <w:rPr/>
        <w:t>Considering</w:t>
      </w:r>
      <w:r>
        <w:rPr>
          <w:spacing w:val="-8"/>
        </w:rPr>
        <w:t> </w:t>
      </w:r>
      <w:r>
        <w:rPr/>
        <w:t>they</w:t>
      </w:r>
      <w:r>
        <w:rPr>
          <w:spacing w:val="-9"/>
        </w:rPr>
        <w:t> </w:t>
      </w:r>
      <w:r>
        <w:rPr/>
        <w:t>have</w:t>
      </w:r>
      <w:r>
        <w:rPr>
          <w:spacing w:val="-6"/>
        </w:rPr>
        <w:t> </w:t>
      </w:r>
      <w:r>
        <w:rPr/>
        <w:t>higher</w:t>
      </w:r>
      <w:r>
        <w:rPr>
          <w:spacing w:val="-5"/>
        </w:rPr>
        <w:t> </w:t>
      </w:r>
      <w:r>
        <w:rPr/>
        <w:t>liquidity</w:t>
      </w:r>
      <w:r>
        <w:rPr>
          <w:spacing w:val="-11"/>
        </w:rPr>
        <w:t> </w:t>
      </w:r>
      <w:r>
        <w:rPr/>
        <w:t>than</w:t>
      </w:r>
      <w:r>
        <w:rPr>
          <w:spacing w:val="-6"/>
        </w:rPr>
        <w:t> </w:t>
      </w:r>
      <w:r>
        <w:rPr/>
        <w:t>equity</w:t>
      </w:r>
      <w:r>
        <w:rPr>
          <w:spacing w:val="-7"/>
        </w:rPr>
        <w:t> </w:t>
      </w:r>
      <w:r>
        <w:rPr/>
        <w:t>stocks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spot</w:t>
      </w:r>
      <w:r>
        <w:rPr>
          <w:spacing w:val="-6"/>
        </w:rPr>
        <w:t> </w:t>
      </w:r>
      <w:r>
        <w:rPr/>
        <w:t>market,</w:t>
      </w:r>
      <w:r>
        <w:rPr>
          <w:spacing w:val="-5"/>
        </w:rPr>
        <w:t> </w:t>
      </w:r>
      <w:r>
        <w:rPr/>
        <w:t>they</w:t>
      </w:r>
      <w:r>
        <w:rPr>
          <w:spacing w:val="-9"/>
        </w:rPr>
        <w:t> </w:t>
      </w:r>
      <w:r>
        <w:rPr/>
        <w:t>play</w:t>
      </w:r>
      <w:r>
        <w:rPr>
          <w:spacing w:val="-10"/>
        </w:rPr>
        <w:t> </w:t>
      </w:r>
      <w:r>
        <w:rPr/>
        <w:t>a</w:t>
      </w:r>
      <w:r>
        <w:rPr>
          <w:spacing w:val="-5"/>
        </w:rPr>
        <w:t> </w:t>
      </w:r>
      <w:r>
        <w:rPr/>
        <w:t>significant</w:t>
      </w:r>
      <w:r>
        <w:rPr>
          <w:spacing w:val="-57"/>
        </w:rPr>
        <w:t> </w:t>
      </w:r>
      <w:r>
        <w:rPr/>
        <w:t>role in any investor’s portfolio, looking to maximise profits or minimise their portfolio risk.</w:t>
      </w:r>
      <w:r>
        <w:rPr>
          <w:spacing w:val="1"/>
        </w:rPr>
        <w:t> </w:t>
      </w:r>
      <w:r>
        <w:rPr/>
        <w:t>Moreover, arbitrage</w:t>
      </w:r>
      <w:r>
        <w:rPr>
          <w:spacing w:val="-1"/>
        </w:rPr>
        <w:t> </w:t>
      </w:r>
      <w:r>
        <w:rPr/>
        <w:t>opportunities can be</w:t>
      </w:r>
      <w:r>
        <w:rPr>
          <w:spacing w:val="-1"/>
        </w:rPr>
        <w:t> </w:t>
      </w:r>
      <w:r>
        <w:rPr/>
        <w:t>exploited by</w:t>
      </w:r>
      <w:r>
        <w:rPr>
          <w:spacing w:val="-5"/>
        </w:rPr>
        <w:t> </w:t>
      </w:r>
      <w:r>
        <w:rPr/>
        <w:t>investors.</w:t>
      </w:r>
    </w:p>
    <w:p>
      <w:pPr>
        <w:spacing w:after="0" w:line="273" w:lineRule="auto"/>
        <w:jc w:val="both"/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0"/>
        </w:numPr>
        <w:tabs>
          <w:tab w:pos="554" w:val="left" w:leader="none"/>
        </w:tabs>
        <w:spacing w:line="240" w:lineRule="auto" w:before="85" w:after="0"/>
        <w:ind w:left="553" w:right="0" w:hanging="423"/>
        <w:jc w:val="left"/>
      </w:pPr>
      <w:bookmarkStart w:name="_bookmark17" w:id="30"/>
      <w:bookmarkEnd w:id="30"/>
      <w:r>
        <w:rPr>
          <w:b w:val="0"/>
        </w:rPr>
      </w:r>
      <w:bookmarkStart w:name="_bookmark17" w:id="31"/>
      <w:bookmarkEnd w:id="31"/>
      <w:r>
        <w:rPr/>
        <w:t>U</w:t>
      </w:r>
      <w:r>
        <w:rPr/>
        <w:t>nadjusted</w:t>
      </w:r>
      <w:r>
        <w:rPr>
          <w:spacing w:val="-2"/>
        </w:rPr>
        <w:t> </w:t>
      </w:r>
      <w:r>
        <w:rPr/>
        <w:t>Risk</w:t>
      </w:r>
      <w:r>
        <w:rPr>
          <w:spacing w:val="-5"/>
        </w:rPr>
        <w:t> </w:t>
      </w:r>
      <w:r>
        <w:rPr/>
        <w:t>Returns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Equity</w:t>
      </w:r>
      <w:r>
        <w:rPr>
          <w:spacing w:val="-4"/>
        </w:rPr>
        <w:t> </w:t>
      </w:r>
      <w:r>
        <w:rPr/>
        <w:t>Futures</w:t>
      </w:r>
      <w:r>
        <w:rPr>
          <w:spacing w:val="-4"/>
        </w:rPr>
        <w:t> </w:t>
      </w:r>
      <w:r>
        <w:rPr/>
        <w:t>Instrument</w:t>
      </w:r>
    </w:p>
    <w:p>
      <w:pPr>
        <w:pStyle w:val="ListParagraph"/>
        <w:numPr>
          <w:ilvl w:val="2"/>
          <w:numId w:val="10"/>
        </w:numPr>
        <w:tabs>
          <w:tab w:pos="720" w:val="left" w:leader="none"/>
        </w:tabs>
        <w:spacing w:line="240" w:lineRule="auto" w:before="168" w:after="0"/>
        <w:ind w:left="719" w:right="0" w:hanging="589"/>
        <w:jc w:val="left"/>
        <w:rPr>
          <w:b/>
          <w:sz w:val="26"/>
        </w:rPr>
      </w:pPr>
      <w:r>
        <w:rPr>
          <w:b/>
          <w:sz w:val="28"/>
        </w:rPr>
        <w:t>Near Month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2203"/>
        <w:gridCol w:w="2311"/>
        <w:gridCol w:w="2386"/>
      </w:tblGrid>
      <w:tr>
        <w:trPr>
          <w:trHeight w:val="498" w:hRule="atLeast"/>
        </w:trPr>
        <w:tc>
          <w:tcPr>
            <w:tcW w:w="2552" w:type="dxa"/>
            <w:shd w:val="clear" w:color="auto" w:fill="FF9900"/>
          </w:tcPr>
          <w:p>
            <w:pPr>
              <w:pStyle w:val="TableParagraph"/>
              <w:spacing w:before="100"/>
              <w:ind w:left="93" w:right="81"/>
              <w:rPr>
                <w:b/>
                <w:sz w:val="26"/>
              </w:rPr>
            </w:pPr>
            <w:r>
              <w:rPr>
                <w:b/>
                <w:sz w:val="26"/>
              </w:rPr>
              <w:t>Returns(Frequency)</w:t>
            </w:r>
          </w:p>
        </w:tc>
        <w:tc>
          <w:tcPr>
            <w:tcW w:w="2203" w:type="dxa"/>
            <w:shd w:val="clear" w:color="auto" w:fill="FF9900"/>
          </w:tcPr>
          <w:p>
            <w:pPr>
              <w:pStyle w:val="TableParagraph"/>
              <w:spacing w:before="100"/>
              <w:ind w:left="611" w:right="597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311" w:type="dxa"/>
            <w:shd w:val="clear" w:color="auto" w:fill="FF9900"/>
          </w:tcPr>
          <w:p>
            <w:pPr>
              <w:pStyle w:val="TableParagraph"/>
              <w:spacing w:before="100"/>
              <w:ind w:left="667" w:right="650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right="679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498" w:hRule="atLeast"/>
        </w:trPr>
        <w:tc>
          <w:tcPr>
            <w:tcW w:w="2552" w:type="dxa"/>
            <w:shd w:val="clear" w:color="auto" w:fill="F3F3F3"/>
          </w:tcPr>
          <w:p>
            <w:pPr>
              <w:pStyle w:val="TableParagraph"/>
              <w:spacing w:before="100"/>
              <w:ind w:left="93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Mean(%)</w:t>
            </w:r>
          </w:p>
        </w:tc>
        <w:tc>
          <w:tcPr>
            <w:tcW w:w="2203" w:type="dxa"/>
            <w:shd w:val="clear" w:color="auto" w:fill="F3F3F3"/>
          </w:tcPr>
          <w:p>
            <w:pPr>
              <w:pStyle w:val="TableParagraph"/>
              <w:ind w:left="611" w:right="600"/>
              <w:rPr>
                <w:sz w:val="26"/>
              </w:rPr>
            </w:pPr>
            <w:r>
              <w:rPr>
                <w:sz w:val="26"/>
              </w:rPr>
              <w:t>0.3358</w:t>
            </w:r>
          </w:p>
        </w:tc>
        <w:tc>
          <w:tcPr>
            <w:tcW w:w="2311" w:type="dxa"/>
            <w:shd w:val="clear" w:color="auto" w:fill="F3F3F3"/>
          </w:tcPr>
          <w:p>
            <w:pPr>
              <w:pStyle w:val="TableParagraph"/>
              <w:ind w:left="667" w:right="652"/>
              <w:rPr>
                <w:sz w:val="26"/>
              </w:rPr>
            </w:pPr>
            <w:r>
              <w:rPr>
                <w:sz w:val="26"/>
              </w:rPr>
              <w:t>1.7162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12.2124</w:t>
            </w:r>
          </w:p>
        </w:tc>
      </w:tr>
      <w:tr>
        <w:trPr>
          <w:trHeight w:val="500" w:hRule="atLeast"/>
        </w:trPr>
        <w:tc>
          <w:tcPr>
            <w:tcW w:w="2552" w:type="dxa"/>
            <w:shd w:val="clear" w:color="auto" w:fill="F3F3F3"/>
          </w:tcPr>
          <w:p>
            <w:pPr>
              <w:pStyle w:val="TableParagraph"/>
              <w:spacing w:before="100"/>
              <w:ind w:left="91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Maximum(%)</w:t>
            </w:r>
          </w:p>
        </w:tc>
        <w:tc>
          <w:tcPr>
            <w:tcW w:w="2203" w:type="dxa"/>
            <w:shd w:val="clear" w:color="auto" w:fill="F3F3F3"/>
          </w:tcPr>
          <w:p>
            <w:pPr>
              <w:pStyle w:val="TableParagraph"/>
              <w:ind w:left="611" w:right="600"/>
              <w:rPr>
                <w:sz w:val="26"/>
              </w:rPr>
            </w:pPr>
            <w:r>
              <w:rPr>
                <w:sz w:val="26"/>
              </w:rPr>
              <w:t>14.5675</w:t>
            </w:r>
          </w:p>
        </w:tc>
        <w:tc>
          <w:tcPr>
            <w:tcW w:w="2311" w:type="dxa"/>
            <w:shd w:val="clear" w:color="auto" w:fill="F3F3F3"/>
          </w:tcPr>
          <w:p>
            <w:pPr>
              <w:pStyle w:val="TableParagraph"/>
              <w:ind w:left="667" w:right="652"/>
              <w:rPr>
                <w:sz w:val="26"/>
              </w:rPr>
            </w:pPr>
            <w:r>
              <w:rPr>
                <w:sz w:val="26"/>
              </w:rPr>
              <w:t>29.8551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29.2380</w:t>
            </w:r>
          </w:p>
        </w:tc>
      </w:tr>
      <w:tr>
        <w:trPr>
          <w:trHeight w:val="498" w:hRule="atLeast"/>
        </w:trPr>
        <w:tc>
          <w:tcPr>
            <w:tcW w:w="2552" w:type="dxa"/>
            <w:shd w:val="clear" w:color="auto" w:fill="F3F3F3"/>
          </w:tcPr>
          <w:p>
            <w:pPr>
              <w:pStyle w:val="TableParagraph"/>
              <w:spacing w:before="100"/>
              <w:ind w:left="91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Minimum(%)</w:t>
            </w:r>
          </w:p>
        </w:tc>
        <w:tc>
          <w:tcPr>
            <w:tcW w:w="2203" w:type="dxa"/>
            <w:shd w:val="clear" w:color="auto" w:fill="F3F3F3"/>
          </w:tcPr>
          <w:p>
            <w:pPr>
              <w:pStyle w:val="TableParagraph"/>
              <w:ind w:left="611" w:right="600"/>
              <w:rPr>
                <w:sz w:val="26"/>
              </w:rPr>
            </w:pPr>
            <w:r>
              <w:rPr>
                <w:sz w:val="26"/>
              </w:rPr>
              <w:t>-29.7269</w:t>
            </w:r>
          </w:p>
        </w:tc>
        <w:tc>
          <w:tcPr>
            <w:tcW w:w="2311" w:type="dxa"/>
            <w:shd w:val="clear" w:color="auto" w:fill="F3F3F3"/>
          </w:tcPr>
          <w:p>
            <w:pPr>
              <w:pStyle w:val="TableParagraph"/>
              <w:ind w:left="667" w:right="652"/>
              <w:rPr>
                <w:sz w:val="26"/>
              </w:rPr>
            </w:pPr>
            <w:r>
              <w:rPr>
                <w:sz w:val="26"/>
              </w:rPr>
              <w:t>-40.1683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-4.8291</w:t>
            </w:r>
          </w:p>
        </w:tc>
      </w:tr>
      <w:tr>
        <w:trPr>
          <w:trHeight w:val="499" w:hRule="atLeast"/>
        </w:trPr>
        <w:tc>
          <w:tcPr>
            <w:tcW w:w="2552" w:type="dxa"/>
            <w:shd w:val="clear" w:color="auto" w:fill="F3F3F3"/>
          </w:tcPr>
          <w:p>
            <w:pPr>
              <w:pStyle w:val="TableParagraph"/>
              <w:spacing w:before="100"/>
              <w:ind w:left="91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203" w:type="dxa"/>
            <w:shd w:val="clear" w:color="auto" w:fill="F3F3F3"/>
          </w:tcPr>
          <w:p>
            <w:pPr>
              <w:pStyle w:val="TableParagraph"/>
              <w:ind w:left="611" w:right="600"/>
              <w:rPr>
                <w:sz w:val="26"/>
              </w:rPr>
            </w:pPr>
            <w:r>
              <w:rPr>
                <w:sz w:val="26"/>
              </w:rPr>
              <w:t>4.8553</w:t>
            </w:r>
          </w:p>
        </w:tc>
        <w:tc>
          <w:tcPr>
            <w:tcW w:w="2311" w:type="dxa"/>
            <w:shd w:val="clear" w:color="auto" w:fill="F3F3F3"/>
          </w:tcPr>
          <w:p>
            <w:pPr>
              <w:pStyle w:val="TableParagraph"/>
              <w:ind w:left="667" w:right="652"/>
              <w:rPr>
                <w:sz w:val="26"/>
              </w:rPr>
            </w:pPr>
            <w:r>
              <w:rPr>
                <w:sz w:val="26"/>
              </w:rPr>
              <w:t>11.0891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10.1225</w:t>
            </w:r>
          </w:p>
        </w:tc>
      </w:tr>
    </w:tbl>
    <w:p>
      <w:pPr>
        <w:spacing w:line="247" w:lineRule="exact" w:before="0"/>
        <w:ind w:left="311" w:right="576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7: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Unadjusted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Returns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Near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Month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Futures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201"/>
        <w:ind w:left="131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graphs</w:t>
      </w:r>
      <w:r>
        <w:rPr>
          <w:spacing w:val="-1"/>
        </w:rPr>
        <w:t> </w:t>
      </w:r>
      <w:r>
        <w:rPr/>
        <w:t>show the</w:t>
      </w:r>
      <w:r>
        <w:rPr>
          <w:spacing w:val="-2"/>
        </w:rPr>
        <w:t> </w:t>
      </w:r>
      <w:r>
        <w:rPr/>
        <w:t>risk -</w:t>
      </w:r>
      <w:r>
        <w:rPr>
          <w:spacing w:val="-2"/>
        </w:rPr>
        <w:t> </w:t>
      </w:r>
      <w:r>
        <w:rPr/>
        <w:t>unadjusted returns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Near</w:t>
      </w:r>
      <w:r>
        <w:rPr>
          <w:spacing w:val="-1"/>
        </w:rPr>
        <w:t> </w:t>
      </w:r>
      <w:r>
        <w:rPr/>
        <w:t>month CHOLAFIN Futures: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67.440002pt;margin-top:9.505097pt;width:476.55pt;height:285.6pt;mso-position-horizontal-relative:page;mso-position-vertical-relative:paragraph;z-index:-15721472;mso-wrap-distance-left:0;mso-wrap-distance-right:0" coordorigin="1349,190" coordsize="9531,5712">
            <v:shape style="position:absolute;left:1389;top:230;width:9449;height:5631" type="#_x0000_t75" stroked="false">
              <v:imagedata r:id="rId20" o:title=""/>
            </v:shape>
            <v:rect style="position:absolute;left:1369;top:210;width:9490;height:5672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pict>
          <v:group style="width:476.55pt;height:298.8pt;mso-position-horizontal-relative:char;mso-position-vertical-relative:line" coordorigin="0,0" coordsize="9531,5976">
            <v:shape style="position:absolute;left:40;top:40;width:9449;height:5895" type="#_x0000_t75" stroked="false">
              <v:imagedata r:id="rId21" o:title=""/>
            </v:shape>
            <v:rect style="position:absolute;left:20;top:20;width:9490;height:5936" filled="false" stroked="true" strokeweight="2.04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group style="position:absolute;margin-left:67.440002pt;margin-top:12.20417pt;width:472.8pt;height:276.4pt;mso-position-horizontal-relative:page;mso-position-vertical-relative:paragraph;z-index:-15720448;mso-wrap-distance-left:0;mso-wrap-distance-right:0" coordorigin="1349,244" coordsize="9456,5528">
            <v:shape style="position:absolute;left:1389;top:284;width:9375;height:5446" type="#_x0000_t75" stroked="false">
              <v:imagedata r:id="rId22" o:title=""/>
            </v:shape>
            <v:rect style="position:absolute;left:1369;top:264;width:9416;height:5487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2"/>
          <w:numId w:val="10"/>
        </w:numPr>
        <w:tabs>
          <w:tab w:pos="1440" w:val="left" w:leader="none"/>
        </w:tabs>
        <w:spacing w:line="240" w:lineRule="auto" w:before="85" w:after="0"/>
        <w:ind w:left="1439" w:right="0" w:hanging="589"/>
        <w:jc w:val="left"/>
        <w:rPr>
          <w:sz w:val="26"/>
        </w:rPr>
      </w:pPr>
      <w:r>
        <w:rPr/>
        <w:t>Next Month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6"/>
        <w:gridCol w:w="2175"/>
        <w:gridCol w:w="2386"/>
        <w:gridCol w:w="2386"/>
      </w:tblGrid>
      <w:tr>
        <w:trPr>
          <w:trHeight w:val="498" w:hRule="atLeast"/>
        </w:trPr>
        <w:tc>
          <w:tcPr>
            <w:tcW w:w="2506" w:type="dxa"/>
            <w:shd w:val="clear" w:color="auto" w:fill="FF9900"/>
          </w:tcPr>
          <w:p>
            <w:pPr>
              <w:pStyle w:val="TableParagraph"/>
              <w:spacing w:before="100"/>
              <w:ind w:left="101" w:right="91"/>
              <w:rPr>
                <w:b/>
                <w:sz w:val="26"/>
              </w:rPr>
            </w:pPr>
            <w:r>
              <w:rPr>
                <w:b/>
                <w:sz w:val="26"/>
              </w:rPr>
              <w:t>Returns(Frequency)</w:t>
            </w:r>
          </w:p>
        </w:tc>
        <w:tc>
          <w:tcPr>
            <w:tcW w:w="2175" w:type="dxa"/>
            <w:shd w:val="clear" w:color="auto" w:fill="FF9900"/>
          </w:tcPr>
          <w:p>
            <w:pPr>
              <w:pStyle w:val="TableParagraph"/>
              <w:spacing w:before="100"/>
              <w:ind w:left="768" w:right="754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left="688" w:right="680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left="689" w:right="680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498" w:hRule="atLeast"/>
        </w:trPr>
        <w:tc>
          <w:tcPr>
            <w:tcW w:w="2506" w:type="dxa"/>
            <w:shd w:val="clear" w:color="auto" w:fill="F3F3F3"/>
          </w:tcPr>
          <w:p>
            <w:pPr>
              <w:pStyle w:val="TableParagraph"/>
              <w:spacing w:before="100"/>
              <w:ind w:left="99" w:right="91"/>
              <w:rPr>
                <w:b/>
                <w:sz w:val="26"/>
              </w:rPr>
            </w:pPr>
            <w:r>
              <w:rPr>
                <w:b/>
                <w:sz w:val="26"/>
              </w:rPr>
              <w:t>Mean(%)</w:t>
            </w:r>
          </w:p>
        </w:tc>
        <w:tc>
          <w:tcPr>
            <w:tcW w:w="2175" w:type="dxa"/>
            <w:shd w:val="clear" w:color="auto" w:fill="F3F3F3"/>
          </w:tcPr>
          <w:p>
            <w:pPr>
              <w:pStyle w:val="TableParagraph"/>
              <w:ind w:left="726"/>
              <w:jc w:val="left"/>
              <w:rPr>
                <w:sz w:val="26"/>
              </w:rPr>
            </w:pPr>
            <w:r>
              <w:rPr>
                <w:sz w:val="26"/>
              </w:rPr>
              <w:t>0.3327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1.7036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12.1649</w:t>
            </w:r>
          </w:p>
        </w:tc>
      </w:tr>
      <w:tr>
        <w:trPr>
          <w:trHeight w:val="498" w:hRule="atLeast"/>
        </w:trPr>
        <w:tc>
          <w:tcPr>
            <w:tcW w:w="2506" w:type="dxa"/>
            <w:shd w:val="clear" w:color="auto" w:fill="F3F3F3"/>
          </w:tcPr>
          <w:p>
            <w:pPr>
              <w:pStyle w:val="TableParagraph"/>
              <w:spacing w:before="100"/>
              <w:ind w:left="101" w:right="90"/>
              <w:rPr>
                <w:b/>
                <w:sz w:val="26"/>
              </w:rPr>
            </w:pPr>
            <w:r>
              <w:rPr>
                <w:b/>
                <w:sz w:val="26"/>
              </w:rPr>
              <w:t>Maximum(%)</w:t>
            </w:r>
          </w:p>
        </w:tc>
        <w:tc>
          <w:tcPr>
            <w:tcW w:w="2175" w:type="dxa"/>
            <w:shd w:val="clear" w:color="auto" w:fill="F3F3F3"/>
          </w:tcPr>
          <w:p>
            <w:pPr>
              <w:pStyle w:val="TableParagraph"/>
              <w:ind w:left="0" w:right="648"/>
              <w:jc w:val="right"/>
              <w:rPr>
                <w:sz w:val="26"/>
              </w:rPr>
            </w:pPr>
            <w:r>
              <w:rPr>
                <w:sz w:val="26"/>
              </w:rPr>
              <w:t>16.3685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27.4686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26.3854</w:t>
            </w:r>
          </w:p>
        </w:tc>
      </w:tr>
      <w:tr>
        <w:trPr>
          <w:trHeight w:val="500" w:hRule="atLeast"/>
        </w:trPr>
        <w:tc>
          <w:tcPr>
            <w:tcW w:w="2506" w:type="dxa"/>
            <w:shd w:val="clear" w:color="auto" w:fill="F3F3F3"/>
          </w:tcPr>
          <w:p>
            <w:pPr>
              <w:pStyle w:val="TableParagraph"/>
              <w:spacing w:before="100"/>
              <w:ind w:left="101" w:right="91"/>
              <w:rPr>
                <w:b/>
                <w:sz w:val="26"/>
              </w:rPr>
            </w:pPr>
            <w:r>
              <w:rPr>
                <w:b/>
                <w:sz w:val="26"/>
              </w:rPr>
              <w:t>Minimum(%)</w:t>
            </w:r>
          </w:p>
        </w:tc>
        <w:tc>
          <w:tcPr>
            <w:tcW w:w="2175" w:type="dxa"/>
            <w:shd w:val="clear" w:color="auto" w:fill="F3F3F3"/>
          </w:tcPr>
          <w:p>
            <w:pPr>
              <w:pStyle w:val="TableParagraph"/>
              <w:ind w:left="0" w:right="605"/>
              <w:jc w:val="right"/>
              <w:rPr>
                <w:sz w:val="26"/>
              </w:rPr>
            </w:pPr>
            <w:r>
              <w:rPr>
                <w:sz w:val="26"/>
              </w:rPr>
              <w:t>-28.7653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-39.5704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-4.2813</w:t>
            </w:r>
          </w:p>
        </w:tc>
      </w:tr>
      <w:tr>
        <w:trPr>
          <w:trHeight w:val="498" w:hRule="atLeast"/>
        </w:trPr>
        <w:tc>
          <w:tcPr>
            <w:tcW w:w="2506" w:type="dxa"/>
            <w:shd w:val="clear" w:color="auto" w:fill="F3F3F3"/>
          </w:tcPr>
          <w:p>
            <w:pPr>
              <w:pStyle w:val="TableParagraph"/>
              <w:spacing w:before="100"/>
              <w:ind w:left="101" w:right="90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175" w:type="dxa"/>
            <w:shd w:val="clear" w:color="auto" w:fill="F3F3F3"/>
          </w:tcPr>
          <w:p>
            <w:pPr>
              <w:pStyle w:val="TableParagraph"/>
              <w:ind w:left="726"/>
              <w:jc w:val="left"/>
              <w:rPr>
                <w:sz w:val="26"/>
              </w:rPr>
            </w:pPr>
            <w:r>
              <w:rPr>
                <w:sz w:val="26"/>
              </w:rPr>
              <w:t>4.8846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11.1172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9"/>
              <w:rPr>
                <w:sz w:val="26"/>
              </w:rPr>
            </w:pPr>
            <w:r>
              <w:rPr>
                <w:sz w:val="26"/>
              </w:rPr>
              <w:t>9.6075</w:t>
            </w:r>
          </w:p>
        </w:tc>
      </w:tr>
    </w:tbl>
    <w:p>
      <w:pPr>
        <w:spacing w:line="247" w:lineRule="exact" w:before="0"/>
        <w:ind w:left="1525" w:right="1849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8: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Unadjusted Returns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Next Month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Futures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131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graphs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risk -</w:t>
      </w:r>
      <w:r>
        <w:rPr>
          <w:spacing w:val="-2"/>
        </w:rPr>
        <w:t> </w:t>
      </w:r>
      <w:r>
        <w:rPr/>
        <w:t>unadjusted returns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month</w:t>
      </w:r>
      <w:r>
        <w:rPr>
          <w:spacing w:val="-1"/>
        </w:rPr>
        <w:t> </w:t>
      </w:r>
      <w:r>
        <w:rPr/>
        <w:t>CHOLAFIN Futures: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67.440002pt;margin-top:9.504365pt;width:485.2pt;height:276pt;mso-position-horizontal-relative:page;mso-position-vertical-relative:paragraph;z-index:-15719936;mso-wrap-distance-left:0;mso-wrap-distance-right:0" coordorigin="1349,190" coordsize="9704,5520">
            <v:shape style="position:absolute;left:1389;top:230;width:9622;height:5439" type="#_x0000_t75" stroked="false">
              <v:imagedata r:id="rId23" o:title=""/>
            </v:shape>
            <v:rect style="position:absolute;left:1369;top:210;width:9663;height:5480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pict>
          <v:group style="width:484.95pt;height:281.2pt;mso-position-horizontal-relative:char;mso-position-vertical-relative:line" coordorigin="0,0" coordsize="9699,5624">
            <v:shape style="position:absolute;left:40;top:40;width:9617;height:5542" type="#_x0000_t75" stroked="false">
              <v:imagedata r:id="rId24" o:title=""/>
            </v:shape>
            <v:rect style="position:absolute;left:20;top:20;width:9658;height:5583" filled="false" stroked="true" strokeweight="2.04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67.440002pt;margin-top:8.229511pt;width:484pt;height:272.3pt;mso-position-horizontal-relative:page;mso-position-vertical-relative:paragraph;z-index:-15718912;mso-wrap-distance-left:0;mso-wrap-distance-right:0" coordorigin="1349,165" coordsize="9680,5446">
            <v:shape style="position:absolute;left:1389;top:205;width:9598;height:5364" type="#_x0000_t75" stroked="false">
              <v:imagedata r:id="rId25" o:title=""/>
            </v:shape>
            <v:rect style="position:absolute;left:1369;top:185;width:9639;height:5405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3"/>
        <w:rPr>
          <w:sz w:val="27"/>
        </w:rPr>
      </w:pPr>
    </w:p>
    <w:p>
      <w:pPr>
        <w:pStyle w:val="Heading3"/>
        <w:numPr>
          <w:ilvl w:val="2"/>
          <w:numId w:val="10"/>
        </w:numPr>
        <w:tabs>
          <w:tab w:pos="1440" w:val="left" w:leader="none"/>
        </w:tabs>
        <w:spacing w:line="240" w:lineRule="auto" w:before="89" w:after="0"/>
        <w:ind w:left="1439" w:right="0" w:hanging="589"/>
        <w:jc w:val="left"/>
        <w:rPr>
          <w:sz w:val="26"/>
        </w:rPr>
      </w:pPr>
      <w:r>
        <w:rPr/>
        <w:t>Far</w:t>
      </w:r>
      <w:r>
        <w:rPr>
          <w:spacing w:val="-1"/>
        </w:rPr>
        <w:t> </w:t>
      </w:r>
      <w:r>
        <w:rPr/>
        <w:t>Month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 w:after="1"/>
        <w:rPr>
          <w:b/>
          <w:sz w:val="16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1"/>
        <w:gridCol w:w="2189"/>
        <w:gridCol w:w="2386"/>
        <w:gridCol w:w="2386"/>
      </w:tblGrid>
      <w:tr>
        <w:trPr>
          <w:trHeight w:val="498" w:hRule="atLeast"/>
        </w:trPr>
        <w:tc>
          <w:tcPr>
            <w:tcW w:w="2491" w:type="dxa"/>
            <w:shd w:val="clear" w:color="auto" w:fill="FF9900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Returns(Frequency)</w:t>
            </w:r>
          </w:p>
        </w:tc>
        <w:tc>
          <w:tcPr>
            <w:tcW w:w="2189" w:type="dxa"/>
            <w:shd w:val="clear" w:color="auto" w:fill="FF9900"/>
          </w:tcPr>
          <w:p>
            <w:pPr>
              <w:pStyle w:val="TableParagraph"/>
              <w:spacing w:before="100"/>
              <w:ind w:left="775" w:right="760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right="680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right="679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543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2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Mean(%)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734"/>
              <w:jc w:val="left"/>
              <w:rPr>
                <w:sz w:val="26"/>
              </w:rPr>
            </w:pPr>
            <w:r>
              <w:rPr>
                <w:sz w:val="26"/>
              </w:rPr>
              <w:t>0.3445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1.7307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12.2723</w:t>
            </w:r>
          </w:p>
        </w:tc>
      </w:tr>
      <w:tr>
        <w:trPr>
          <w:trHeight w:val="498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Maximum(%)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0" w:right="654"/>
              <w:jc w:val="right"/>
              <w:rPr>
                <w:sz w:val="26"/>
              </w:rPr>
            </w:pPr>
            <w:r>
              <w:rPr>
                <w:sz w:val="26"/>
              </w:rPr>
              <w:t>17.1093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26.0134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27.8669</w:t>
            </w:r>
          </w:p>
        </w:tc>
      </w:tr>
      <w:tr>
        <w:trPr>
          <w:trHeight w:val="498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Minimum(%)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0" w:right="611"/>
              <w:jc w:val="right"/>
              <w:rPr>
                <w:sz w:val="26"/>
              </w:rPr>
            </w:pPr>
            <w:r>
              <w:rPr>
                <w:sz w:val="26"/>
              </w:rPr>
              <w:t>-29.8848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-40.6846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-4.3275</w:t>
            </w:r>
          </w:p>
        </w:tc>
      </w:tr>
      <w:tr>
        <w:trPr>
          <w:trHeight w:val="501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734"/>
              <w:jc w:val="left"/>
              <w:rPr>
                <w:sz w:val="26"/>
              </w:rPr>
            </w:pPr>
            <w:r>
              <w:rPr>
                <w:sz w:val="26"/>
              </w:rPr>
              <w:t>4.9555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11.1594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9.8340</w:t>
            </w:r>
          </w:p>
        </w:tc>
      </w:tr>
    </w:tbl>
    <w:p>
      <w:pPr>
        <w:spacing w:line="247" w:lineRule="exact" w:before="0"/>
        <w:ind w:left="311" w:right="633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9: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Unadjusted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Returns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Far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Month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Futures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98"/>
        <w:ind w:left="131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graphs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risk -</w:t>
      </w:r>
      <w:r>
        <w:rPr>
          <w:spacing w:val="-2"/>
        </w:rPr>
        <w:t> </w:t>
      </w:r>
      <w:r>
        <w:rPr/>
        <w:t>unadjusted returns</w:t>
      </w:r>
      <w:r>
        <w:rPr>
          <w:spacing w:val="-1"/>
        </w:rPr>
        <w:t> </w:t>
      </w:r>
      <w:r>
        <w:rPr/>
        <w:t>for Far</w:t>
      </w:r>
      <w:r>
        <w:rPr>
          <w:spacing w:val="-1"/>
        </w:rPr>
        <w:t> </w:t>
      </w:r>
      <w:r>
        <w:rPr/>
        <w:t>month</w:t>
      </w:r>
      <w:r>
        <w:rPr>
          <w:spacing w:val="-1"/>
        </w:rPr>
        <w:t> </w:t>
      </w:r>
      <w:r>
        <w:rPr/>
        <w:t>CHOLAFIN Futures: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67.440002pt;margin-top:9.504365pt;width:476.55pt;height:296.3pt;mso-position-horizontal-relative:page;mso-position-vertical-relative:paragraph;z-index:-15718400;mso-wrap-distance-left:0;mso-wrap-distance-right:0" coordorigin="1349,190" coordsize="9531,5926">
            <v:shape style="position:absolute;left:1389;top:230;width:9449;height:5844" type="#_x0000_t75" stroked="false">
              <v:imagedata r:id="rId26" o:title=""/>
            </v:shape>
            <v:rect style="position:absolute;left:1369;top:210;width:9490;height:5885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pict>
          <v:group style="width:476.55pt;height:294.6pt;mso-position-horizontal-relative:char;mso-position-vertical-relative:line" coordorigin="0,0" coordsize="9531,5892">
            <v:shape style="position:absolute;left:40;top:40;width:9449;height:5811" type="#_x0000_t75" stroked="false">
              <v:imagedata r:id="rId27" o:title=""/>
            </v:shape>
            <v:rect style="position:absolute;left:20;top:20;width:9490;height:5852" filled="false" stroked="true" strokeweight="2.04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pict>
          <v:group style="position:absolute;margin-left:67.440002pt;margin-top:13.929024pt;width:488.55pt;height:282.75pt;mso-position-horizontal-relative:page;mso-position-vertical-relative:paragraph;z-index:-15717376;mso-wrap-distance-left:0;mso-wrap-distance-right:0" coordorigin="1349,279" coordsize="9771,5655">
            <v:shape style="position:absolute;left:1389;top:319;width:9689;height:5573" type="#_x0000_t75" stroked="false">
              <v:imagedata r:id="rId28" o:title=""/>
            </v:shape>
            <v:rect style="position:absolute;left:1369;top:298;width:9730;height:5614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10"/>
        </w:numPr>
        <w:tabs>
          <w:tab w:pos="583" w:val="left" w:leader="none"/>
        </w:tabs>
        <w:spacing w:line="240" w:lineRule="auto" w:before="88" w:after="0"/>
        <w:ind w:left="582" w:right="0" w:hanging="452"/>
        <w:jc w:val="left"/>
        <w:rPr>
          <w:b/>
          <w:sz w:val="30"/>
        </w:rPr>
      </w:pPr>
      <w:bookmarkStart w:name="_bookmark18" w:id="32"/>
      <w:bookmarkEnd w:id="32"/>
      <w:r>
        <w:rPr/>
      </w:r>
      <w:bookmarkStart w:name="_bookmark18" w:id="33"/>
      <w:bookmarkEnd w:id="33"/>
      <w:r>
        <w:rPr>
          <w:b/>
          <w:sz w:val="30"/>
        </w:rPr>
        <w:t>Ris</w:t>
      </w:r>
      <w:r>
        <w:rPr>
          <w:b/>
          <w:sz w:val="30"/>
        </w:rPr>
        <w:t>k-Adjusted</w:t>
      </w:r>
      <w:r>
        <w:rPr>
          <w:b/>
          <w:spacing w:val="-8"/>
          <w:sz w:val="30"/>
        </w:rPr>
        <w:t> </w:t>
      </w:r>
      <w:r>
        <w:rPr>
          <w:b/>
          <w:sz w:val="30"/>
        </w:rPr>
        <w:t>Returns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for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Equity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Futures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Instrument</w:t>
      </w:r>
    </w:p>
    <w:p>
      <w:pPr>
        <w:pStyle w:val="BodyText"/>
        <w:rPr>
          <w:b/>
          <w:sz w:val="32"/>
        </w:rPr>
      </w:pPr>
    </w:p>
    <w:p>
      <w:pPr>
        <w:pStyle w:val="Heading3"/>
        <w:numPr>
          <w:ilvl w:val="2"/>
          <w:numId w:val="10"/>
        </w:numPr>
        <w:tabs>
          <w:tab w:pos="1440" w:val="left" w:leader="none"/>
        </w:tabs>
        <w:spacing w:line="240" w:lineRule="auto" w:before="285" w:after="0"/>
        <w:ind w:left="1439" w:right="0" w:hanging="589"/>
        <w:jc w:val="left"/>
        <w:rPr>
          <w:sz w:val="26"/>
        </w:rPr>
      </w:pPr>
      <w:r>
        <w:rPr/>
        <w:t>Near Month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1"/>
        <w:gridCol w:w="2189"/>
        <w:gridCol w:w="2386"/>
        <w:gridCol w:w="2386"/>
      </w:tblGrid>
      <w:tr>
        <w:trPr>
          <w:trHeight w:val="498" w:hRule="atLeast"/>
        </w:trPr>
        <w:tc>
          <w:tcPr>
            <w:tcW w:w="2491" w:type="dxa"/>
            <w:shd w:val="clear" w:color="auto" w:fill="FF9900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Returns(Frequency)</w:t>
            </w:r>
          </w:p>
        </w:tc>
        <w:tc>
          <w:tcPr>
            <w:tcW w:w="2189" w:type="dxa"/>
            <w:shd w:val="clear" w:color="auto" w:fill="FF9900"/>
          </w:tcPr>
          <w:p>
            <w:pPr>
              <w:pStyle w:val="TableParagraph"/>
              <w:spacing w:before="100"/>
              <w:ind w:left="775" w:right="760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right="680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right="679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544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2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Mean(%)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734"/>
              <w:jc w:val="left"/>
              <w:rPr>
                <w:sz w:val="26"/>
              </w:rPr>
            </w:pPr>
            <w:r>
              <w:rPr>
                <w:sz w:val="26"/>
              </w:rPr>
              <w:t>0.3194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1.6013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11.7160</w:t>
            </w:r>
          </w:p>
        </w:tc>
      </w:tr>
      <w:tr>
        <w:trPr>
          <w:trHeight w:val="500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Maximum(%)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0" w:right="654"/>
              <w:jc w:val="right"/>
              <w:rPr>
                <w:sz w:val="26"/>
              </w:rPr>
            </w:pPr>
            <w:r>
              <w:rPr>
                <w:sz w:val="26"/>
              </w:rPr>
              <w:t>14.5499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29.7426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28.7454</w:t>
            </w:r>
          </w:p>
        </w:tc>
      </w:tr>
      <w:tr>
        <w:trPr>
          <w:trHeight w:val="498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Minimum(%)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0" w:right="611"/>
              <w:jc w:val="right"/>
              <w:rPr>
                <w:sz w:val="26"/>
              </w:rPr>
            </w:pPr>
            <w:r>
              <w:rPr>
                <w:sz w:val="26"/>
              </w:rPr>
              <w:t>-29.7444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-40.2887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-5.3093</w:t>
            </w:r>
          </w:p>
        </w:tc>
      </w:tr>
      <w:tr>
        <w:trPr>
          <w:trHeight w:val="498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734"/>
              <w:jc w:val="left"/>
              <w:rPr>
                <w:sz w:val="26"/>
              </w:rPr>
            </w:pPr>
            <w:r>
              <w:rPr>
                <w:sz w:val="26"/>
              </w:rPr>
              <w:t>4.8553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11.0899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10.1197</w:t>
            </w:r>
          </w:p>
        </w:tc>
      </w:tr>
    </w:tbl>
    <w:p>
      <w:pPr>
        <w:spacing w:line="247" w:lineRule="exact" w:before="0"/>
        <w:ind w:left="1525" w:right="1849" w:firstLine="0"/>
        <w:jc w:val="center"/>
        <w:rPr>
          <w:i/>
          <w:sz w:val="22"/>
        </w:rPr>
      </w:pPr>
      <w:r>
        <w:rPr>
          <w:i/>
          <w:sz w:val="22"/>
        </w:rPr>
        <w:t>Table 10: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Adjusted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Returns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for Near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Month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Futures</w:t>
      </w:r>
    </w:p>
    <w:p>
      <w:pPr>
        <w:pStyle w:val="BodyText"/>
        <w:rPr>
          <w:i/>
        </w:rPr>
      </w:pPr>
    </w:p>
    <w:p>
      <w:pPr>
        <w:pStyle w:val="BodyText"/>
        <w:spacing w:before="189"/>
        <w:ind w:left="131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graphs</w:t>
      </w:r>
      <w:r>
        <w:rPr>
          <w:spacing w:val="-2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risk-adjusted</w:t>
      </w:r>
      <w:r>
        <w:rPr>
          <w:spacing w:val="-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Near</w:t>
      </w:r>
      <w:r>
        <w:rPr>
          <w:spacing w:val="-1"/>
        </w:rPr>
        <w:t> </w:t>
      </w:r>
      <w:r>
        <w:rPr/>
        <w:t>month</w:t>
      </w:r>
      <w:r>
        <w:rPr>
          <w:spacing w:val="-1"/>
        </w:rPr>
        <w:t> </w:t>
      </w:r>
      <w:r>
        <w:rPr/>
        <w:t>CHOLAFIN Futures: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pict>
          <v:group style="position:absolute;margin-left:67.440002pt;margin-top:12.383924pt;width:476.55pt;height:293.8pt;mso-position-horizontal-relative:page;mso-position-vertical-relative:paragraph;z-index:-15716864;mso-wrap-distance-left:0;mso-wrap-distance-right:0" coordorigin="1349,248" coordsize="9531,5876">
            <v:shape style="position:absolute;left:1389;top:288;width:9449;height:5794" type="#_x0000_t75" stroked="false">
              <v:imagedata r:id="rId29" o:title=""/>
            </v:shape>
            <v:rect style="position:absolute;left:1369;top:268;width:9490;height:5835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28"/>
        <w:rPr>
          <w:sz w:val="20"/>
        </w:rPr>
      </w:pPr>
      <w:r>
        <w:rPr/>
        <w:pict>
          <v:group style="position:absolute;margin-left:67.440002pt;margin-top:318.456757pt;width:476.65pt;height:302.2pt;mso-position-horizontal-relative:page;mso-position-vertical-relative:paragraph;z-index:-15715840;mso-wrap-distance-left:0;mso-wrap-distance-right:0" coordorigin="1349,6369" coordsize="9533,6044">
            <v:shape style="position:absolute;left:1389;top:6409;width:9452;height:5962" type="#_x0000_t75" stroked="false">
              <v:imagedata r:id="rId30" o:title=""/>
            </v:shape>
            <v:rect style="position:absolute;left:1369;top:6389;width:9492;height:6003" filled="false" stroked="true" strokeweight="2.04pt" strokecolor="#000000">
              <v:stroke dashstyle="solid"/>
            </v:rect>
            <w10:wrap type="topAndBottom"/>
          </v:group>
        </w:pict>
      </w:r>
      <w:r>
        <w:rPr>
          <w:sz w:val="20"/>
        </w:rPr>
        <w:pict>
          <v:group style="width:476.65pt;height:315pt;mso-position-horizontal-relative:char;mso-position-vertical-relative:line" coordorigin="0,0" coordsize="9533,6300">
            <v:shape style="position:absolute;left:40;top:40;width:9452;height:6219" type="#_x0000_t75" stroked="false">
              <v:imagedata r:id="rId31" o:title=""/>
            </v:shape>
            <v:rect style="position:absolute;left:20;top:20;width:9492;height:6260" filled="false" stroked="true" strokeweight="2.04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2"/>
          <w:numId w:val="10"/>
        </w:numPr>
        <w:tabs>
          <w:tab w:pos="1440" w:val="left" w:leader="none"/>
        </w:tabs>
        <w:spacing w:line="240" w:lineRule="auto" w:before="83" w:after="0"/>
        <w:ind w:left="1439" w:right="0" w:hanging="589"/>
        <w:jc w:val="left"/>
        <w:rPr>
          <w:sz w:val="26"/>
        </w:rPr>
      </w:pPr>
      <w:r>
        <w:rPr/>
        <w:t>Next Month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1"/>
        <w:gridCol w:w="2189"/>
        <w:gridCol w:w="2386"/>
        <w:gridCol w:w="2386"/>
      </w:tblGrid>
      <w:tr>
        <w:trPr>
          <w:trHeight w:val="498" w:hRule="atLeast"/>
        </w:trPr>
        <w:tc>
          <w:tcPr>
            <w:tcW w:w="2491" w:type="dxa"/>
            <w:shd w:val="clear" w:color="auto" w:fill="FF9900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Returns(Frequency)</w:t>
            </w:r>
          </w:p>
        </w:tc>
        <w:tc>
          <w:tcPr>
            <w:tcW w:w="2189" w:type="dxa"/>
            <w:shd w:val="clear" w:color="auto" w:fill="FF9900"/>
          </w:tcPr>
          <w:p>
            <w:pPr>
              <w:pStyle w:val="TableParagraph"/>
              <w:spacing w:before="100"/>
              <w:ind w:left="775" w:right="760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right="680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right="679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544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2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Mean(%)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734"/>
              <w:jc w:val="left"/>
              <w:rPr>
                <w:sz w:val="26"/>
              </w:rPr>
            </w:pPr>
            <w:r>
              <w:rPr>
                <w:sz w:val="26"/>
              </w:rPr>
              <w:t>0.3163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1.5888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11.6686</w:t>
            </w:r>
          </w:p>
        </w:tc>
      </w:tr>
      <w:tr>
        <w:trPr>
          <w:trHeight w:val="498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Maximum(%)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0" w:right="654"/>
              <w:jc w:val="right"/>
              <w:rPr>
                <w:sz w:val="26"/>
              </w:rPr>
            </w:pPr>
            <w:r>
              <w:rPr>
                <w:sz w:val="26"/>
              </w:rPr>
              <w:t>16.3508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27.3561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25.8928</w:t>
            </w:r>
          </w:p>
        </w:tc>
      </w:tr>
      <w:tr>
        <w:trPr>
          <w:trHeight w:val="500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Minimum(%)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0" w:right="611"/>
              <w:jc w:val="right"/>
              <w:rPr>
                <w:sz w:val="26"/>
              </w:rPr>
            </w:pPr>
            <w:r>
              <w:rPr>
                <w:sz w:val="26"/>
              </w:rPr>
              <w:t>-28.7828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-39.6908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-4.7614</w:t>
            </w:r>
          </w:p>
        </w:tc>
      </w:tr>
      <w:tr>
        <w:trPr>
          <w:trHeight w:val="498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734"/>
              <w:jc w:val="left"/>
              <w:rPr>
                <w:sz w:val="26"/>
              </w:rPr>
            </w:pPr>
            <w:r>
              <w:rPr>
                <w:sz w:val="26"/>
              </w:rPr>
              <w:t>4.8846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11.1180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9.6044</w:t>
            </w:r>
          </w:p>
        </w:tc>
      </w:tr>
    </w:tbl>
    <w:p>
      <w:pPr>
        <w:spacing w:line="247" w:lineRule="exact" w:before="0"/>
        <w:ind w:left="1525" w:right="1849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11: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Adjusted Returns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Next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Month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Futures</w:t>
      </w:r>
    </w:p>
    <w:p>
      <w:pPr>
        <w:pStyle w:val="BodyText"/>
        <w:rPr>
          <w:i/>
        </w:rPr>
      </w:pPr>
    </w:p>
    <w:p>
      <w:pPr>
        <w:pStyle w:val="BodyText"/>
        <w:spacing w:before="189"/>
        <w:ind w:left="131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graphs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risk-adjusted</w:t>
      </w:r>
      <w:r>
        <w:rPr>
          <w:spacing w:val="-1"/>
        </w:rPr>
        <w:t> </w:t>
      </w:r>
      <w:r>
        <w:rPr/>
        <w:t>returns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month</w:t>
      </w:r>
      <w:r>
        <w:rPr>
          <w:spacing w:val="-1"/>
        </w:rPr>
        <w:t> </w:t>
      </w:r>
      <w:r>
        <w:rPr/>
        <w:t>CHOLAFIN Futures: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pict>
          <v:group style="position:absolute;margin-left:67.440002pt;margin-top:12.383941pt;width:476.55pt;height:294.850pt;mso-position-horizontal-relative:page;mso-position-vertical-relative:paragraph;z-index:-15715328;mso-wrap-distance-left:0;mso-wrap-distance-right:0" coordorigin="1349,248" coordsize="9531,5897">
            <v:shape style="position:absolute;left:1389;top:288;width:9449;height:5816" type="#_x0000_t75" stroked="false">
              <v:imagedata r:id="rId32" o:title=""/>
            </v:shape>
            <v:rect style="position:absolute;left:1369;top:268;width:9490;height:5856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28"/>
        <w:rPr>
          <w:sz w:val="20"/>
        </w:rPr>
      </w:pPr>
      <w:r>
        <w:rPr/>
        <w:pict>
          <v:group style="position:absolute;margin-left:67.440002pt;margin-top:318.456757pt;width:476.65pt;height:282.150pt;mso-position-horizontal-relative:page;mso-position-vertical-relative:paragraph;z-index:-15714304;mso-wrap-distance-left:0;mso-wrap-distance-right:0" coordorigin="1349,6369" coordsize="9533,5643">
            <v:shape style="position:absolute;left:1389;top:6409;width:9452;height:5561" type="#_x0000_t75" stroked="false">
              <v:imagedata r:id="rId33" o:title=""/>
            </v:shape>
            <v:rect style="position:absolute;left:1369;top:6389;width:9492;height:5602" filled="false" stroked="true" strokeweight="2.04pt" strokecolor="#000000">
              <v:stroke dashstyle="solid"/>
            </v:rect>
            <w10:wrap type="topAndBottom"/>
          </v:group>
        </w:pict>
      </w:r>
      <w:r>
        <w:rPr>
          <w:sz w:val="20"/>
        </w:rPr>
        <w:pict>
          <v:group style="width:476.65pt;height:315pt;mso-position-horizontal-relative:char;mso-position-vertical-relative:line" coordorigin="0,0" coordsize="9533,6300">
            <v:shape style="position:absolute;left:40;top:40;width:9452;height:6219" type="#_x0000_t75" stroked="false">
              <v:imagedata r:id="rId34" o:title=""/>
            </v:shape>
            <v:rect style="position:absolute;left:20;top:20;width:9492;height:6260" filled="false" stroked="true" strokeweight="2.04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2"/>
          <w:numId w:val="10"/>
        </w:numPr>
        <w:tabs>
          <w:tab w:pos="1440" w:val="left" w:leader="none"/>
        </w:tabs>
        <w:spacing w:line="240" w:lineRule="auto" w:before="83" w:after="0"/>
        <w:ind w:left="1439" w:right="0" w:hanging="589"/>
        <w:jc w:val="left"/>
        <w:rPr>
          <w:sz w:val="26"/>
        </w:rPr>
      </w:pPr>
      <w:r>
        <w:rPr/>
        <w:t>Far</w:t>
      </w:r>
      <w:r>
        <w:rPr>
          <w:spacing w:val="-1"/>
        </w:rPr>
        <w:t> </w:t>
      </w:r>
      <w:r>
        <w:rPr/>
        <w:t>Month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1"/>
        <w:gridCol w:w="2189"/>
        <w:gridCol w:w="2386"/>
        <w:gridCol w:w="2386"/>
      </w:tblGrid>
      <w:tr>
        <w:trPr>
          <w:trHeight w:val="498" w:hRule="atLeast"/>
        </w:trPr>
        <w:tc>
          <w:tcPr>
            <w:tcW w:w="2491" w:type="dxa"/>
            <w:shd w:val="clear" w:color="auto" w:fill="FF9900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Returns(Frequency)</w:t>
            </w:r>
          </w:p>
        </w:tc>
        <w:tc>
          <w:tcPr>
            <w:tcW w:w="2189" w:type="dxa"/>
            <w:shd w:val="clear" w:color="auto" w:fill="FF9900"/>
          </w:tcPr>
          <w:p>
            <w:pPr>
              <w:pStyle w:val="TableParagraph"/>
              <w:spacing w:before="100"/>
              <w:ind w:left="775" w:right="760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right="680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386" w:type="dxa"/>
            <w:shd w:val="clear" w:color="auto" w:fill="FF9900"/>
          </w:tcPr>
          <w:p>
            <w:pPr>
              <w:pStyle w:val="TableParagraph"/>
              <w:spacing w:before="100"/>
              <w:ind w:right="679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544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2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Mean(%)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734"/>
              <w:jc w:val="left"/>
              <w:rPr>
                <w:sz w:val="26"/>
              </w:rPr>
            </w:pPr>
            <w:r>
              <w:rPr>
                <w:sz w:val="26"/>
              </w:rPr>
              <w:t>0.3282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1.6181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11.7768</w:t>
            </w:r>
          </w:p>
        </w:tc>
      </w:tr>
      <w:tr>
        <w:trPr>
          <w:trHeight w:val="498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Maximum(%)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0" w:right="654"/>
              <w:jc w:val="right"/>
              <w:rPr>
                <w:sz w:val="26"/>
              </w:rPr>
            </w:pPr>
            <w:r>
              <w:rPr>
                <w:sz w:val="26"/>
              </w:rPr>
              <w:t>17.0916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25.8996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27.3743</w:t>
            </w:r>
          </w:p>
        </w:tc>
      </w:tr>
      <w:tr>
        <w:trPr>
          <w:trHeight w:val="500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Minimum(%)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0" w:right="611"/>
              <w:jc w:val="right"/>
              <w:rPr>
                <w:sz w:val="26"/>
              </w:rPr>
            </w:pPr>
            <w:r>
              <w:rPr>
                <w:sz w:val="26"/>
              </w:rPr>
              <w:t>-29.9022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-40.8027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-4.8077</w:t>
            </w:r>
          </w:p>
        </w:tc>
      </w:tr>
      <w:tr>
        <w:trPr>
          <w:trHeight w:val="498" w:hRule="atLeast"/>
        </w:trPr>
        <w:tc>
          <w:tcPr>
            <w:tcW w:w="2491" w:type="dxa"/>
            <w:shd w:val="clear" w:color="auto" w:fill="F3F3F3"/>
          </w:tcPr>
          <w:p>
            <w:pPr>
              <w:pStyle w:val="TableParagraph"/>
              <w:spacing w:before="100"/>
              <w:ind w:left="94" w:right="83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189" w:type="dxa"/>
            <w:shd w:val="clear" w:color="auto" w:fill="F3F3F3"/>
          </w:tcPr>
          <w:p>
            <w:pPr>
              <w:pStyle w:val="TableParagraph"/>
              <w:ind w:left="734"/>
              <w:jc w:val="left"/>
              <w:rPr>
                <w:sz w:val="26"/>
              </w:rPr>
            </w:pPr>
            <w:r>
              <w:rPr>
                <w:sz w:val="26"/>
              </w:rPr>
              <w:t>4.9555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11.1606</w:t>
            </w:r>
          </w:p>
        </w:tc>
        <w:tc>
          <w:tcPr>
            <w:tcW w:w="2386" w:type="dxa"/>
            <w:shd w:val="clear" w:color="auto" w:fill="F3F3F3"/>
          </w:tcPr>
          <w:p>
            <w:pPr>
              <w:pStyle w:val="TableParagraph"/>
              <w:ind w:right="677"/>
              <w:rPr>
                <w:sz w:val="26"/>
              </w:rPr>
            </w:pPr>
            <w:r>
              <w:rPr>
                <w:sz w:val="26"/>
              </w:rPr>
              <w:t>9.8325</w:t>
            </w:r>
          </w:p>
        </w:tc>
      </w:tr>
    </w:tbl>
    <w:p>
      <w:pPr>
        <w:spacing w:line="247" w:lineRule="exact" w:before="0"/>
        <w:ind w:left="1525" w:right="1849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12: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Adjusted Returns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Far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Month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Futures</w:t>
      </w:r>
    </w:p>
    <w:p>
      <w:pPr>
        <w:pStyle w:val="BodyText"/>
        <w:rPr>
          <w:i/>
        </w:rPr>
      </w:pPr>
    </w:p>
    <w:p>
      <w:pPr>
        <w:pStyle w:val="BodyText"/>
        <w:spacing w:before="189"/>
        <w:ind w:left="131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graphs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risk-adjusted</w:t>
      </w:r>
      <w:r>
        <w:rPr>
          <w:spacing w:val="-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Far</w:t>
      </w:r>
      <w:r>
        <w:rPr>
          <w:spacing w:val="-3"/>
        </w:rPr>
        <w:t> </w:t>
      </w:r>
      <w:r>
        <w:rPr/>
        <w:t>month</w:t>
      </w:r>
      <w:r>
        <w:rPr>
          <w:spacing w:val="-1"/>
        </w:rPr>
        <w:t> </w:t>
      </w:r>
      <w:r>
        <w:rPr/>
        <w:t>CHOLAFIN Futures: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pict>
          <v:group style="position:absolute;margin-left:67.440002pt;margin-top:12.383941pt;width:476.55pt;height:306.150pt;mso-position-horizontal-relative:page;mso-position-vertical-relative:paragraph;z-index:-15713792;mso-wrap-distance-left:0;mso-wrap-distance-right:0" coordorigin="1349,248" coordsize="9531,6123">
            <v:shape style="position:absolute;left:1389;top:288;width:9449;height:6041" type="#_x0000_t75" stroked="false">
              <v:imagedata r:id="rId35" o:title=""/>
            </v:shape>
            <v:rect style="position:absolute;left:1369;top:268;width:9490;height:6082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28"/>
        <w:rPr>
          <w:sz w:val="20"/>
        </w:rPr>
      </w:pPr>
      <w:r>
        <w:rPr/>
        <w:pict>
          <v:group style="position:absolute;margin-left:67.440002pt;margin-top:291.809998pt;width:476.55pt;height:292.45pt;mso-position-horizontal-relative:page;mso-position-vertical-relative:paragraph;z-index:-15712768;mso-wrap-distance-left:0;mso-wrap-distance-right:0" coordorigin="1349,5836" coordsize="9531,5849">
            <v:shape style="position:absolute;left:1389;top:5877;width:9449;height:5768" type="#_x0000_t75" stroked="false">
              <v:imagedata r:id="rId36" o:title=""/>
            </v:shape>
            <v:rect style="position:absolute;left:1369;top:5856;width:9490;height:5808" filled="false" stroked="true" strokeweight="2.04pt" strokecolor="#000000">
              <v:stroke dashstyle="solid"/>
            </v:rect>
            <w10:wrap type="topAndBottom"/>
          </v:group>
        </w:pict>
      </w:r>
      <w:r>
        <w:rPr>
          <w:sz w:val="20"/>
        </w:rPr>
        <w:pict>
          <v:group style="width:476.55pt;height:288.6pt;mso-position-horizontal-relative:char;mso-position-vertical-relative:line" coordorigin="0,0" coordsize="9531,5772">
            <v:shape style="position:absolute;left:40;top:40;width:9449;height:5691" type="#_x0000_t75" stroked="false">
              <v:imagedata r:id="rId37" o:title=""/>
            </v:shape>
            <v:rect style="position:absolute;left:20;top:20;width:9490;height:5732" filled="false" stroked="true" strokeweight="2.04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10"/>
        </w:numPr>
        <w:tabs>
          <w:tab w:pos="583" w:val="left" w:leader="none"/>
        </w:tabs>
        <w:spacing w:line="240" w:lineRule="auto" w:before="88" w:after="0"/>
        <w:ind w:left="582" w:right="0" w:hanging="452"/>
        <w:jc w:val="left"/>
      </w:pPr>
      <w:bookmarkStart w:name="_bookmark19" w:id="34"/>
      <w:bookmarkEnd w:id="34"/>
      <w:r>
        <w:rPr>
          <w:b w:val="0"/>
        </w:rPr>
      </w:r>
      <w:bookmarkStart w:name="_bookmark19" w:id="35"/>
      <w:bookmarkEnd w:id="35"/>
      <w:r>
        <w:rPr/>
        <w:t>Ris</w:t>
      </w:r>
      <w:r>
        <w:rPr/>
        <w:t>k-Adjusted</w:t>
      </w:r>
      <w:r>
        <w:rPr>
          <w:spacing w:val="-8"/>
        </w:rPr>
        <w:t> </w:t>
      </w:r>
      <w:r>
        <w:rPr/>
        <w:t>v/s</w:t>
      </w:r>
      <w:r>
        <w:rPr>
          <w:spacing w:val="-5"/>
        </w:rPr>
        <w:t> </w:t>
      </w:r>
      <w:r>
        <w:rPr/>
        <w:t>Unadjusted</w:t>
      </w:r>
      <w:r>
        <w:rPr>
          <w:spacing w:val="-5"/>
        </w:rPr>
        <w:t> </w:t>
      </w:r>
      <w:r>
        <w:rPr/>
        <w:t>Returns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Equity</w:t>
      </w:r>
      <w:r>
        <w:rPr>
          <w:spacing w:val="-5"/>
        </w:rPr>
        <w:t> </w:t>
      </w:r>
      <w:r>
        <w:rPr/>
        <w:t>Futures</w:t>
      </w:r>
      <w:r>
        <w:rPr>
          <w:spacing w:val="-5"/>
        </w:rPr>
        <w:t> </w:t>
      </w:r>
      <w:r>
        <w:rPr/>
        <w:t>Instrument</w:t>
      </w:r>
    </w:p>
    <w:p>
      <w:pPr>
        <w:pStyle w:val="BodyText"/>
        <w:spacing w:before="5"/>
        <w:rPr>
          <w:b/>
          <w:sz w:val="26"/>
        </w:rPr>
      </w:pPr>
    </w:p>
    <w:p>
      <w:pPr>
        <w:spacing w:line="278" w:lineRule="auto" w:before="0"/>
        <w:ind w:left="131" w:right="442" w:firstLine="55"/>
        <w:jc w:val="left"/>
        <w:rPr>
          <w:i/>
          <w:sz w:val="22"/>
        </w:rPr>
      </w:pPr>
      <w:r>
        <w:rPr>
          <w:i/>
          <w:sz w:val="22"/>
        </w:rPr>
        <w:t>*All the following graphs have been scaled up to 200% to visibly show the difference between the adjusted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and unadjusted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return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values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29"/>
        </w:rPr>
      </w:pPr>
    </w:p>
    <w:p>
      <w:pPr>
        <w:pStyle w:val="Heading3"/>
        <w:numPr>
          <w:ilvl w:val="2"/>
          <w:numId w:val="10"/>
        </w:numPr>
        <w:tabs>
          <w:tab w:pos="720" w:val="left" w:leader="none"/>
        </w:tabs>
        <w:spacing w:line="240" w:lineRule="auto" w:before="1" w:after="0"/>
        <w:ind w:left="719" w:right="0" w:hanging="589"/>
        <w:jc w:val="left"/>
        <w:rPr>
          <w:sz w:val="26"/>
        </w:rPr>
      </w:pPr>
      <w:r>
        <w:rPr/>
        <w:t>Near Month</w:t>
      </w:r>
    </w:p>
    <w:p>
      <w:pPr>
        <w:pStyle w:val="BodyText"/>
        <w:spacing w:before="7"/>
        <w:rPr>
          <w:b/>
          <w:sz w:val="10"/>
        </w:rPr>
      </w:pPr>
      <w:r>
        <w:rPr/>
        <w:pict>
          <v:group style="position:absolute;margin-left:68.760002pt;margin-top:8.079512pt;width:470.05pt;height:275.55pt;mso-position-horizontal-relative:page;mso-position-vertical-relative:paragraph;z-index:-15712256;mso-wrap-distance-left:0;mso-wrap-distance-right:0" coordorigin="1375,162" coordsize="9401,5511">
            <v:shape style="position:absolute;left:1416;top:202;width:9320;height:5429" type="#_x0000_t75" stroked="false">
              <v:imagedata r:id="rId38" o:title=""/>
            </v:shape>
            <v:rect style="position:absolute;left:1395;top:182;width:9360;height:5470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b/>
          <w:sz w:val="7"/>
        </w:rPr>
      </w:pPr>
    </w:p>
    <w:p>
      <w:pPr>
        <w:pStyle w:val="BodyText"/>
        <w:ind w:left="358"/>
        <w:rPr>
          <w:sz w:val="20"/>
        </w:rPr>
      </w:pPr>
      <w:r>
        <w:rPr>
          <w:sz w:val="20"/>
        </w:rPr>
        <w:pict>
          <v:group style="width:449.55pt;height:270.5pt;mso-position-horizontal-relative:char;mso-position-vertical-relative:line" coordorigin="0,0" coordsize="8991,5410">
            <v:shape style="position:absolute;left:40;top:40;width:8909;height:5328" type="#_x0000_t75" stroked="false">
              <v:imagedata r:id="rId39" o:title=""/>
            </v:shape>
            <v:rect style="position:absolute;left:20;top:20;width:8950;height:5369" filled="false" stroked="true" strokeweight="2.04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  <w:r>
        <w:rPr/>
        <w:pict>
          <v:group style="position:absolute;margin-left:87pt;margin-top:13.835186pt;width:433.45pt;height:278.8pt;mso-position-horizontal-relative:page;mso-position-vertical-relative:paragraph;z-index:-15711232;mso-wrap-distance-left:0;mso-wrap-distance-right:0" coordorigin="1740,277" coordsize="8669,5576">
            <v:shape style="position:absolute;left:1780;top:317;width:8588;height:5494" type="#_x0000_t75" stroked="false">
              <v:imagedata r:id="rId40" o:title=""/>
            </v:shape>
            <v:rect style="position:absolute;left:1760;top:297;width:8628;height:5535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2"/>
          <w:numId w:val="10"/>
        </w:numPr>
        <w:tabs>
          <w:tab w:pos="720" w:val="left" w:leader="none"/>
        </w:tabs>
        <w:spacing w:line="240" w:lineRule="auto" w:before="85" w:after="0"/>
        <w:ind w:left="719" w:right="0" w:hanging="589"/>
        <w:jc w:val="left"/>
        <w:rPr>
          <w:b/>
          <w:sz w:val="26"/>
        </w:rPr>
      </w:pPr>
      <w:r>
        <w:rPr>
          <w:b/>
          <w:sz w:val="28"/>
        </w:rPr>
        <w:t>Next Month</w:t>
      </w:r>
    </w:p>
    <w:p>
      <w:pPr>
        <w:pStyle w:val="BodyText"/>
        <w:spacing w:before="8"/>
        <w:rPr>
          <w:b/>
          <w:sz w:val="10"/>
        </w:rPr>
      </w:pPr>
      <w:r>
        <w:rPr/>
        <w:pict>
          <v:group style="position:absolute;margin-left:69.599998pt;margin-top:8.149258pt;width:468.25pt;height:315.5pt;mso-position-horizontal-relative:page;mso-position-vertical-relative:paragraph;z-index:-15710720;mso-wrap-distance-left:0;mso-wrap-distance-right:0" coordorigin="1392,163" coordsize="9365,6310">
            <v:shape style="position:absolute;left:1432;top:203;width:9284;height:6228" type="#_x0000_t75" stroked="false">
              <v:imagedata r:id="rId41" o:title=""/>
            </v:shape>
            <v:rect style="position:absolute;left:1412;top:183;width:9324;height:6269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pict>
          <v:group style="position:absolute;margin-left:67.440002pt;margin-top:19.153584pt;width:476.2pt;height:263.8pt;mso-position-horizontal-relative:page;mso-position-vertical-relative:paragraph;z-index:-15710208;mso-wrap-distance-left:0;mso-wrap-distance-right:0" coordorigin="1349,383" coordsize="9524,5276">
            <v:shape style="position:absolute;left:1389;top:423;width:9442;height:5194" type="#_x0000_t75" stroked="false">
              <v:imagedata r:id="rId42" o:title=""/>
            </v:shape>
            <v:rect style="position:absolute;left:1369;top:403;width:9483;height:5235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9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b/>
          <w:sz w:val="7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pict>
          <v:group style="width:476.65pt;height:270pt;mso-position-horizontal-relative:char;mso-position-vertical-relative:line" coordorigin="0,0" coordsize="9533,5400">
            <v:shape style="position:absolute;left:40;top:40;width:9452;height:5319" type="#_x0000_t75" stroked="false">
              <v:imagedata r:id="rId43" o:title=""/>
            </v:shape>
            <v:rect style="position:absolute;left:20;top:20;width:9492;height:5360" filled="false" stroked="true" strokeweight="2.04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2"/>
          <w:numId w:val="10"/>
        </w:numPr>
        <w:tabs>
          <w:tab w:pos="720" w:val="left" w:leader="none"/>
        </w:tabs>
        <w:spacing w:line="240" w:lineRule="auto" w:before="268" w:after="0"/>
        <w:ind w:left="719" w:right="0" w:hanging="589"/>
        <w:jc w:val="left"/>
        <w:rPr>
          <w:sz w:val="26"/>
        </w:rPr>
      </w:pPr>
      <w:r>
        <w:rPr/>
        <w:t>Far</w:t>
      </w:r>
      <w:r>
        <w:rPr>
          <w:spacing w:val="-1"/>
        </w:rPr>
        <w:t> </w:t>
      </w:r>
      <w:r>
        <w:rPr/>
        <w:t>Month</w:t>
      </w:r>
    </w:p>
    <w:p>
      <w:pPr>
        <w:pStyle w:val="BodyText"/>
        <w:spacing w:before="7"/>
        <w:rPr>
          <w:b/>
          <w:sz w:val="10"/>
        </w:rPr>
      </w:pPr>
      <w:r>
        <w:rPr/>
        <w:pict>
          <v:group style="position:absolute;margin-left:70.199997pt;margin-top:8.079512pt;width:467.2pt;height:289.8pt;mso-position-horizontal-relative:page;mso-position-vertical-relative:paragraph;z-index:-15709184;mso-wrap-distance-left:0;mso-wrap-distance-right:0" coordorigin="1404,162" coordsize="9344,5796">
            <v:shape style="position:absolute;left:1444;top:202;width:9262;height:5715" type="#_x0000_t75" stroked="false">
              <v:imagedata r:id="rId44" o:title=""/>
            </v:shape>
            <v:rect style="position:absolute;left:1424;top:182;width:9303;height:5756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b/>
          <w:sz w:val="7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pict>
          <v:group style="width:476.65pt;height:272.05pt;mso-position-horizontal-relative:char;mso-position-vertical-relative:line" coordorigin="0,0" coordsize="9533,5441">
            <v:shape style="position:absolute;left:40;top:40;width:9452;height:5360" type="#_x0000_t75" stroked="false">
              <v:imagedata r:id="rId45" o:title=""/>
            </v:shape>
            <v:rect style="position:absolute;left:20;top:20;width:9492;height:5400" filled="false" stroked="true" strokeweight="2.04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0"/>
        </w:rPr>
      </w:pPr>
      <w:r>
        <w:rPr/>
        <w:pict>
          <v:group style="position:absolute;margin-left:67.440002pt;margin-top:8.229511pt;width:476.65pt;height:256.1pt;mso-position-horizontal-relative:page;mso-position-vertical-relative:paragraph;z-index:-15708160;mso-wrap-distance-left:0;mso-wrap-distance-right:0" coordorigin="1349,165" coordsize="9533,5122">
            <v:shape style="position:absolute;left:1389;top:205;width:9452;height:5040" type="#_x0000_t75" stroked="false">
              <v:imagedata r:id="rId46" o:title=""/>
            </v:shape>
            <v:rect style="position:absolute;left:1369;top:185;width:9492;height:5081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6" w:lineRule="auto" w:before="82"/>
        <w:ind w:left="131" w:right="456"/>
        <w:jc w:val="both"/>
      </w:pPr>
      <w:r>
        <w:rPr/>
        <w:t>As mentioned in section-1, the risk-adjusted return is a measure of how much return the portfolio</w:t>
      </w:r>
      <w:r>
        <w:rPr>
          <w:spacing w:val="1"/>
        </w:rPr>
        <w:t> </w:t>
      </w:r>
      <w:r>
        <w:rPr/>
        <w:t>gives in excess of the risk-free return, i.e. the T-bill return. Generally, the </w:t>
      </w:r>
      <w:r>
        <w:rPr>
          <w:i/>
        </w:rPr>
        <w:t>Sharpe ratio </w:t>
      </w:r>
      <w:r>
        <w:rPr/>
        <w:t>indicates</w:t>
      </w:r>
      <w:r>
        <w:rPr>
          <w:spacing w:val="1"/>
        </w:rPr>
        <w:t> </w:t>
      </w:r>
      <w:r>
        <w:rPr/>
        <w:t>the risk-adjusted return, which is defined as the excess return over the risk-free rate relative to the</w:t>
      </w:r>
      <w:r>
        <w:rPr>
          <w:spacing w:val="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deviation of the</w:t>
      </w:r>
      <w:r>
        <w:rPr>
          <w:spacing w:val="1"/>
        </w:rPr>
        <w:t> </w:t>
      </w:r>
      <w:r>
        <w:rPr/>
        <w:t>excess return.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/>
        <w:ind w:left="131" w:right="462"/>
        <w:jc w:val="both"/>
      </w:pPr>
      <w:r>
        <w:rPr/>
        <w:t>The following tables and graphs show the trend in the Sharpe ratio for different future contract</w:t>
      </w:r>
      <w:r>
        <w:rPr>
          <w:spacing w:val="1"/>
        </w:rPr>
        <w:t> </w:t>
      </w:r>
      <w:r>
        <w:rPr/>
        <w:t>expiry</w:t>
      </w:r>
      <w:r>
        <w:rPr>
          <w:spacing w:val="-8"/>
        </w:rPr>
        <w:t> </w:t>
      </w:r>
      <w:r>
        <w:rPr/>
        <w:t>dates and</w:t>
      </w:r>
      <w:r>
        <w:rPr>
          <w:spacing w:val="2"/>
        </w:rPr>
        <w:t> </w:t>
      </w:r>
      <w:r>
        <w:rPr/>
        <w:t>frequencies:</w:t>
      </w:r>
    </w:p>
    <w:p>
      <w:pPr>
        <w:pStyle w:val="BodyText"/>
        <w:spacing w:before="3"/>
        <w:rPr>
          <w:sz w:val="30"/>
        </w:rPr>
      </w:pPr>
    </w:p>
    <w:p>
      <w:pPr>
        <w:pStyle w:val="Heading3"/>
        <w:numPr>
          <w:ilvl w:val="3"/>
          <w:numId w:val="10"/>
        </w:numPr>
        <w:tabs>
          <w:tab w:pos="921" w:val="left" w:leader="none"/>
          <w:tab w:pos="922" w:val="left" w:leader="none"/>
        </w:tabs>
        <w:spacing w:line="240" w:lineRule="auto" w:before="0" w:after="0"/>
        <w:ind w:left="921" w:right="0" w:hanging="431"/>
        <w:jc w:val="left"/>
      </w:pPr>
      <w:r>
        <w:rPr/>
        <w:t>Near Month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5"/>
        <w:gridCol w:w="2057"/>
        <w:gridCol w:w="2009"/>
        <w:gridCol w:w="2132"/>
      </w:tblGrid>
      <w:tr>
        <w:trPr>
          <w:trHeight w:val="499" w:hRule="atLeast"/>
        </w:trPr>
        <w:tc>
          <w:tcPr>
            <w:tcW w:w="3255" w:type="dxa"/>
            <w:shd w:val="clear" w:color="auto" w:fill="FF9900"/>
          </w:tcPr>
          <w:p>
            <w:pPr>
              <w:pStyle w:val="TableParagraph"/>
              <w:spacing w:before="100"/>
              <w:ind w:left="160" w:right="148"/>
              <w:rPr>
                <w:b/>
                <w:sz w:val="26"/>
              </w:rPr>
            </w:pPr>
            <w:r>
              <w:rPr>
                <w:b/>
                <w:sz w:val="26"/>
              </w:rPr>
              <w:t>Sharpe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Ratio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(Frequency)</w:t>
            </w:r>
          </w:p>
        </w:tc>
        <w:tc>
          <w:tcPr>
            <w:tcW w:w="2057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73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009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556" w:right="545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132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563" w:right="554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544" w:hRule="atLeast"/>
        </w:trPr>
        <w:tc>
          <w:tcPr>
            <w:tcW w:w="3255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198" w:right="187"/>
              <w:rPr>
                <w:b/>
                <w:sz w:val="26"/>
              </w:rPr>
            </w:pPr>
            <w:r>
              <w:rPr>
                <w:b/>
                <w:sz w:val="26"/>
              </w:rPr>
              <w:t>Mean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71"/>
              <w:jc w:val="left"/>
              <w:rPr>
                <w:sz w:val="26"/>
              </w:rPr>
            </w:pPr>
            <w:r>
              <w:rPr>
                <w:sz w:val="26"/>
              </w:rPr>
              <w:t>0.0658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300" w:right="286"/>
              <w:rPr>
                <w:sz w:val="26"/>
              </w:rPr>
            </w:pPr>
            <w:r>
              <w:rPr>
                <w:sz w:val="26"/>
              </w:rPr>
              <w:t>0.1444</w:t>
            </w:r>
          </w:p>
        </w:tc>
        <w:tc>
          <w:tcPr>
            <w:tcW w:w="2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425" w:right="413"/>
              <w:rPr>
                <w:sz w:val="26"/>
              </w:rPr>
            </w:pPr>
            <w:r>
              <w:rPr>
                <w:sz w:val="26"/>
              </w:rPr>
              <w:t>1.1577</w:t>
            </w:r>
          </w:p>
        </w:tc>
      </w:tr>
      <w:tr>
        <w:trPr>
          <w:trHeight w:val="543" w:hRule="atLeast"/>
        </w:trPr>
        <w:tc>
          <w:tcPr>
            <w:tcW w:w="3255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199" w:right="186"/>
              <w:rPr>
                <w:b/>
                <w:sz w:val="26"/>
              </w:rPr>
            </w:pPr>
            <w:r>
              <w:rPr>
                <w:b/>
                <w:sz w:val="26"/>
              </w:rPr>
              <w:t>Maximum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71"/>
              <w:jc w:val="left"/>
              <w:rPr>
                <w:sz w:val="26"/>
              </w:rPr>
            </w:pPr>
            <w:r>
              <w:rPr>
                <w:sz w:val="26"/>
              </w:rPr>
              <w:t>2.9967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300" w:right="286"/>
              <w:rPr>
                <w:sz w:val="26"/>
              </w:rPr>
            </w:pPr>
            <w:r>
              <w:rPr>
                <w:sz w:val="26"/>
              </w:rPr>
              <w:t>2.6819</w:t>
            </w:r>
          </w:p>
        </w:tc>
        <w:tc>
          <w:tcPr>
            <w:tcW w:w="2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425" w:right="413"/>
              <w:rPr>
                <w:sz w:val="26"/>
              </w:rPr>
            </w:pPr>
            <w:r>
              <w:rPr>
                <w:sz w:val="26"/>
              </w:rPr>
              <w:t>2.8405</w:t>
            </w:r>
          </w:p>
        </w:tc>
      </w:tr>
      <w:tr>
        <w:trPr>
          <w:trHeight w:val="544" w:hRule="atLeast"/>
        </w:trPr>
        <w:tc>
          <w:tcPr>
            <w:tcW w:w="3255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199" w:right="187"/>
              <w:rPr>
                <w:b/>
                <w:sz w:val="26"/>
              </w:rPr>
            </w:pPr>
            <w:r>
              <w:rPr>
                <w:b/>
                <w:sz w:val="26"/>
              </w:rPr>
              <w:t>Minimum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28"/>
              <w:jc w:val="left"/>
              <w:rPr>
                <w:sz w:val="26"/>
              </w:rPr>
            </w:pPr>
            <w:r>
              <w:rPr>
                <w:sz w:val="26"/>
              </w:rPr>
              <w:t>-6.1261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300" w:right="286"/>
              <w:rPr>
                <w:sz w:val="26"/>
              </w:rPr>
            </w:pPr>
            <w:r>
              <w:rPr>
                <w:sz w:val="26"/>
              </w:rPr>
              <w:t>-3.6329</w:t>
            </w:r>
          </w:p>
        </w:tc>
        <w:tc>
          <w:tcPr>
            <w:tcW w:w="2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425" w:right="413"/>
              <w:rPr>
                <w:sz w:val="26"/>
              </w:rPr>
            </w:pPr>
            <w:r>
              <w:rPr>
                <w:sz w:val="26"/>
              </w:rPr>
              <w:t>-0.5246</w:t>
            </w:r>
          </w:p>
        </w:tc>
      </w:tr>
      <w:tr>
        <w:trPr>
          <w:trHeight w:val="543" w:hRule="atLeast"/>
        </w:trPr>
        <w:tc>
          <w:tcPr>
            <w:tcW w:w="3255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195" w:right="187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71"/>
              <w:jc w:val="left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300" w:right="286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  <w:tc>
          <w:tcPr>
            <w:tcW w:w="2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425" w:right="413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</w:tr>
    </w:tbl>
    <w:p>
      <w:pPr>
        <w:spacing w:line="247" w:lineRule="exact" w:before="0"/>
        <w:ind w:left="1525" w:right="1849" w:firstLine="0"/>
        <w:jc w:val="center"/>
        <w:rPr>
          <w:i/>
          <w:sz w:val="22"/>
        </w:rPr>
      </w:pPr>
      <w:r>
        <w:rPr>
          <w:i/>
          <w:sz w:val="22"/>
        </w:rPr>
        <w:t>Table 13: Sharpe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Ratio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Near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Month Futures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7"/>
        </w:rPr>
      </w:pPr>
      <w:r>
        <w:rPr/>
        <w:pict>
          <v:group style="position:absolute;margin-left:70.680pt;margin-top:12.012547pt;width:466.1pt;height:192pt;mso-position-horizontal-relative:page;mso-position-vertical-relative:paragraph;z-index:-15707648;mso-wrap-distance-left:0;mso-wrap-distance-right:0" coordorigin="1414,240" coordsize="9322,3840">
            <v:shape style="position:absolute;left:1454;top:281;width:9240;height:3759" type="#_x0000_t75" stroked="false">
              <v:imagedata r:id="rId47" o:title=""/>
            </v:shape>
            <v:rect style="position:absolute;left:1434;top:260;width:9281;height:3800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</w:rPr>
      </w:pPr>
    </w:p>
    <w:p>
      <w:pPr>
        <w:pStyle w:val="Heading3"/>
        <w:numPr>
          <w:ilvl w:val="3"/>
          <w:numId w:val="10"/>
        </w:numPr>
        <w:tabs>
          <w:tab w:pos="921" w:val="left" w:leader="none"/>
          <w:tab w:pos="922" w:val="left" w:leader="none"/>
        </w:tabs>
        <w:spacing w:line="240" w:lineRule="auto" w:before="89" w:after="0"/>
        <w:ind w:left="921" w:right="0" w:hanging="431"/>
        <w:jc w:val="left"/>
      </w:pPr>
      <w:r>
        <w:rPr/>
        <w:t>Next Month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5"/>
        <w:gridCol w:w="2057"/>
        <w:gridCol w:w="2009"/>
        <w:gridCol w:w="2132"/>
      </w:tblGrid>
      <w:tr>
        <w:trPr>
          <w:trHeight w:val="498" w:hRule="atLeast"/>
        </w:trPr>
        <w:tc>
          <w:tcPr>
            <w:tcW w:w="3255" w:type="dxa"/>
            <w:shd w:val="clear" w:color="auto" w:fill="FF9900"/>
          </w:tcPr>
          <w:p>
            <w:pPr>
              <w:pStyle w:val="TableParagraph"/>
              <w:spacing w:before="100"/>
              <w:ind w:left="160" w:right="148"/>
              <w:rPr>
                <w:b/>
                <w:sz w:val="26"/>
              </w:rPr>
            </w:pPr>
            <w:r>
              <w:rPr>
                <w:b/>
                <w:sz w:val="26"/>
              </w:rPr>
              <w:t>Sharpe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Ratio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(Frequency)</w:t>
            </w:r>
          </w:p>
        </w:tc>
        <w:tc>
          <w:tcPr>
            <w:tcW w:w="2057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73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009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556" w:right="545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132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563" w:right="554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543" w:hRule="atLeast"/>
        </w:trPr>
        <w:tc>
          <w:tcPr>
            <w:tcW w:w="3255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198" w:right="187"/>
              <w:rPr>
                <w:b/>
                <w:sz w:val="26"/>
              </w:rPr>
            </w:pPr>
            <w:r>
              <w:rPr>
                <w:b/>
                <w:sz w:val="26"/>
              </w:rPr>
              <w:t>Mean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71"/>
              <w:jc w:val="left"/>
              <w:rPr>
                <w:sz w:val="26"/>
              </w:rPr>
            </w:pPr>
            <w:r>
              <w:rPr>
                <w:sz w:val="26"/>
              </w:rPr>
              <w:t>0.0648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300" w:right="286"/>
              <w:rPr>
                <w:sz w:val="26"/>
              </w:rPr>
            </w:pPr>
            <w:r>
              <w:rPr>
                <w:sz w:val="26"/>
              </w:rPr>
              <w:t>0.1429</w:t>
            </w:r>
          </w:p>
        </w:tc>
        <w:tc>
          <w:tcPr>
            <w:tcW w:w="2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425" w:right="413"/>
              <w:rPr>
                <w:sz w:val="26"/>
              </w:rPr>
            </w:pPr>
            <w:r>
              <w:rPr>
                <w:sz w:val="26"/>
              </w:rPr>
              <w:t>1.2149</w:t>
            </w:r>
          </w:p>
        </w:tc>
      </w:tr>
      <w:tr>
        <w:trPr>
          <w:trHeight w:val="543" w:hRule="atLeast"/>
        </w:trPr>
        <w:tc>
          <w:tcPr>
            <w:tcW w:w="3255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199" w:right="186"/>
              <w:rPr>
                <w:b/>
                <w:sz w:val="26"/>
              </w:rPr>
            </w:pPr>
            <w:r>
              <w:rPr>
                <w:b/>
                <w:sz w:val="26"/>
              </w:rPr>
              <w:t>Maximum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71"/>
              <w:jc w:val="left"/>
              <w:rPr>
                <w:sz w:val="26"/>
              </w:rPr>
            </w:pPr>
            <w:r>
              <w:rPr>
                <w:sz w:val="26"/>
              </w:rPr>
              <w:t>3.3474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300" w:right="286"/>
              <w:rPr>
                <w:sz w:val="26"/>
              </w:rPr>
            </w:pPr>
            <w:r>
              <w:rPr>
                <w:sz w:val="26"/>
              </w:rPr>
              <w:t>2.4605</w:t>
            </w:r>
          </w:p>
        </w:tc>
        <w:tc>
          <w:tcPr>
            <w:tcW w:w="2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425" w:right="413"/>
              <w:rPr>
                <w:sz w:val="26"/>
              </w:rPr>
            </w:pPr>
            <w:r>
              <w:rPr>
                <w:sz w:val="26"/>
              </w:rPr>
              <w:t>2.6959</w:t>
            </w:r>
          </w:p>
        </w:tc>
      </w:tr>
      <w:tr>
        <w:trPr>
          <w:trHeight w:val="544" w:hRule="atLeast"/>
        </w:trPr>
        <w:tc>
          <w:tcPr>
            <w:tcW w:w="3255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199" w:right="187"/>
              <w:rPr>
                <w:b/>
                <w:sz w:val="26"/>
              </w:rPr>
            </w:pPr>
            <w:r>
              <w:rPr>
                <w:b/>
                <w:sz w:val="26"/>
              </w:rPr>
              <w:t>Minimum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28"/>
              <w:jc w:val="left"/>
              <w:rPr>
                <w:sz w:val="26"/>
              </w:rPr>
            </w:pPr>
            <w:r>
              <w:rPr>
                <w:sz w:val="26"/>
              </w:rPr>
              <w:t>-5.8926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300" w:right="286"/>
              <w:rPr>
                <w:sz w:val="26"/>
              </w:rPr>
            </w:pPr>
            <w:r>
              <w:rPr>
                <w:sz w:val="26"/>
              </w:rPr>
              <w:t>-3.5699</w:t>
            </w:r>
          </w:p>
        </w:tc>
        <w:tc>
          <w:tcPr>
            <w:tcW w:w="2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425" w:right="413"/>
              <w:rPr>
                <w:sz w:val="26"/>
              </w:rPr>
            </w:pPr>
            <w:r>
              <w:rPr>
                <w:sz w:val="26"/>
              </w:rPr>
              <w:t>-0.4958</w:t>
            </w:r>
          </w:p>
        </w:tc>
      </w:tr>
      <w:tr>
        <w:trPr>
          <w:trHeight w:val="544" w:hRule="atLeast"/>
        </w:trPr>
        <w:tc>
          <w:tcPr>
            <w:tcW w:w="3255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195" w:right="187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71"/>
              <w:jc w:val="left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300" w:right="286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  <w:tc>
          <w:tcPr>
            <w:tcW w:w="2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425" w:right="413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</w:tr>
    </w:tbl>
    <w:p>
      <w:pPr>
        <w:spacing w:line="247" w:lineRule="exact" w:before="0"/>
        <w:ind w:left="1525" w:right="1849" w:firstLine="0"/>
        <w:jc w:val="center"/>
        <w:rPr>
          <w:i/>
          <w:sz w:val="22"/>
        </w:rPr>
      </w:pPr>
      <w:r>
        <w:rPr>
          <w:i/>
          <w:sz w:val="22"/>
        </w:rPr>
        <w:t>Table 14: Sharpe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Ratio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Next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Month Futures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6"/>
        </w:rPr>
      </w:pPr>
      <w:r>
        <w:rPr/>
        <w:pict>
          <v:group style="position:absolute;margin-left:71.040001pt;margin-top:11.751575pt;width:465.4pt;height:214.45pt;mso-position-horizontal-relative:page;mso-position-vertical-relative:paragraph;z-index:-15707136;mso-wrap-distance-left:0;mso-wrap-distance-right:0" coordorigin="1421,235" coordsize="9308,4289">
            <v:shape style="position:absolute;left:1461;top:275;width:9226;height:4208" type="#_x0000_t75" stroked="false">
              <v:imagedata r:id="rId48" o:title=""/>
            </v:shape>
            <v:rect style="position:absolute;left:1441;top:255;width:9267;height:4248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3"/>
          <w:numId w:val="10"/>
        </w:numPr>
        <w:tabs>
          <w:tab w:pos="921" w:val="left" w:leader="none"/>
          <w:tab w:pos="922" w:val="left" w:leader="none"/>
        </w:tabs>
        <w:spacing w:line="240" w:lineRule="auto" w:before="255" w:after="50"/>
        <w:ind w:left="921" w:right="0" w:hanging="431"/>
        <w:jc w:val="left"/>
      </w:pPr>
      <w:r>
        <w:rPr/>
        <w:t>Far</w:t>
      </w:r>
      <w:r>
        <w:rPr>
          <w:spacing w:val="-1"/>
        </w:rPr>
        <w:t> </w:t>
      </w:r>
      <w:r>
        <w:rPr/>
        <w:t>Month</w:t>
      </w:r>
    </w:p>
    <w:tbl>
      <w:tblPr>
        <w:tblW w:w="0" w:type="auto"/>
        <w:jc w:val="left"/>
        <w:tblInd w:w="2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6"/>
        <w:gridCol w:w="2055"/>
        <w:gridCol w:w="2011"/>
        <w:gridCol w:w="2129"/>
      </w:tblGrid>
      <w:tr>
        <w:trPr>
          <w:trHeight w:val="499" w:hRule="atLeast"/>
        </w:trPr>
        <w:tc>
          <w:tcPr>
            <w:tcW w:w="3286" w:type="dxa"/>
            <w:shd w:val="clear" w:color="auto" w:fill="FF9900"/>
          </w:tcPr>
          <w:p>
            <w:pPr>
              <w:pStyle w:val="TableParagraph"/>
              <w:spacing w:before="100"/>
              <w:ind w:left="177" w:right="162"/>
              <w:rPr>
                <w:b/>
                <w:sz w:val="26"/>
              </w:rPr>
            </w:pPr>
            <w:r>
              <w:rPr>
                <w:b/>
                <w:sz w:val="26"/>
              </w:rPr>
              <w:t>Sharpe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Ratio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(Frequency)</w:t>
            </w:r>
          </w:p>
        </w:tc>
        <w:tc>
          <w:tcPr>
            <w:tcW w:w="2055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708" w:right="694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2011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563" w:right="549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2129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0" w:right="57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</w:tr>
      <w:tr>
        <w:trPr>
          <w:trHeight w:val="543" w:hRule="atLeast"/>
        </w:trPr>
        <w:tc>
          <w:tcPr>
            <w:tcW w:w="3286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534" w:right="520"/>
              <w:rPr>
                <w:b/>
                <w:sz w:val="26"/>
              </w:rPr>
            </w:pPr>
            <w:r>
              <w:rPr>
                <w:b/>
                <w:sz w:val="26"/>
              </w:rPr>
              <w:t>Mean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04" w:right="593"/>
              <w:rPr>
                <w:sz w:val="26"/>
              </w:rPr>
            </w:pPr>
            <w:r>
              <w:rPr>
                <w:sz w:val="26"/>
              </w:rPr>
              <w:t>0.0662</w:t>
            </w:r>
          </w:p>
        </w:tc>
        <w:tc>
          <w:tcPr>
            <w:tcW w:w="20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21"/>
              <w:ind w:left="614" w:right="598"/>
              <w:rPr>
                <w:sz w:val="24"/>
              </w:rPr>
            </w:pPr>
            <w:r>
              <w:rPr>
                <w:sz w:val="24"/>
              </w:rPr>
              <w:t>0.1450</w:t>
            </w:r>
          </w:p>
        </w:tc>
        <w:tc>
          <w:tcPr>
            <w:tcW w:w="2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0" w:right="690"/>
              <w:jc w:val="right"/>
              <w:rPr>
                <w:sz w:val="26"/>
              </w:rPr>
            </w:pPr>
            <w:r>
              <w:rPr>
                <w:sz w:val="26"/>
              </w:rPr>
              <w:t>1.1977</w:t>
            </w:r>
          </w:p>
        </w:tc>
      </w:tr>
      <w:tr>
        <w:trPr>
          <w:trHeight w:val="544" w:hRule="atLeast"/>
        </w:trPr>
        <w:tc>
          <w:tcPr>
            <w:tcW w:w="3286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534" w:right="519"/>
              <w:rPr>
                <w:b/>
                <w:sz w:val="26"/>
              </w:rPr>
            </w:pPr>
            <w:r>
              <w:rPr>
                <w:b/>
                <w:sz w:val="26"/>
              </w:rPr>
              <w:t>Maximum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04" w:right="593"/>
              <w:rPr>
                <w:sz w:val="26"/>
              </w:rPr>
            </w:pPr>
            <w:r>
              <w:rPr>
                <w:sz w:val="26"/>
              </w:rPr>
              <w:t>3.4490</w:t>
            </w:r>
          </w:p>
        </w:tc>
        <w:tc>
          <w:tcPr>
            <w:tcW w:w="20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21"/>
              <w:ind w:left="614" w:right="598"/>
              <w:rPr>
                <w:sz w:val="24"/>
              </w:rPr>
            </w:pPr>
            <w:r>
              <w:rPr>
                <w:sz w:val="24"/>
              </w:rPr>
              <w:t>2.3206</w:t>
            </w:r>
          </w:p>
        </w:tc>
        <w:tc>
          <w:tcPr>
            <w:tcW w:w="2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0" w:right="690"/>
              <w:jc w:val="right"/>
              <w:rPr>
                <w:sz w:val="26"/>
              </w:rPr>
            </w:pPr>
            <w:r>
              <w:rPr>
                <w:sz w:val="26"/>
              </w:rPr>
              <w:t>2.7841</w:t>
            </w:r>
          </w:p>
        </w:tc>
      </w:tr>
      <w:tr>
        <w:trPr>
          <w:trHeight w:val="544" w:hRule="atLeast"/>
        </w:trPr>
        <w:tc>
          <w:tcPr>
            <w:tcW w:w="3286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534" w:right="519"/>
              <w:rPr>
                <w:b/>
                <w:sz w:val="26"/>
              </w:rPr>
            </w:pPr>
            <w:r>
              <w:rPr>
                <w:b/>
                <w:sz w:val="26"/>
              </w:rPr>
              <w:t>Minimum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604" w:right="593"/>
              <w:rPr>
                <w:sz w:val="26"/>
              </w:rPr>
            </w:pPr>
            <w:r>
              <w:rPr>
                <w:sz w:val="26"/>
              </w:rPr>
              <w:t>-6.0341</w:t>
            </w:r>
          </w:p>
        </w:tc>
        <w:tc>
          <w:tcPr>
            <w:tcW w:w="20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21"/>
              <w:ind w:left="617" w:right="598"/>
              <w:rPr>
                <w:sz w:val="24"/>
              </w:rPr>
            </w:pPr>
            <w:r>
              <w:rPr>
                <w:sz w:val="24"/>
              </w:rPr>
              <w:t>-3.6560</w:t>
            </w:r>
          </w:p>
        </w:tc>
        <w:tc>
          <w:tcPr>
            <w:tcW w:w="2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0" w:right="647"/>
              <w:jc w:val="right"/>
              <w:rPr>
                <w:sz w:val="26"/>
              </w:rPr>
            </w:pPr>
            <w:r>
              <w:rPr>
                <w:sz w:val="26"/>
              </w:rPr>
              <w:t>-0.4890</w:t>
            </w:r>
          </w:p>
        </w:tc>
      </w:tr>
      <w:tr>
        <w:trPr>
          <w:trHeight w:val="546" w:hRule="atLeast"/>
        </w:trPr>
        <w:tc>
          <w:tcPr>
            <w:tcW w:w="3286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534" w:right="523"/>
              <w:rPr>
                <w:b/>
                <w:sz w:val="26"/>
              </w:rPr>
            </w:pPr>
            <w:r>
              <w:rPr>
                <w:b/>
                <w:sz w:val="26"/>
              </w:rPr>
              <w:t>Standard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Deviation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92"/>
              <w:ind w:left="604" w:right="593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  <w:tc>
          <w:tcPr>
            <w:tcW w:w="20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92"/>
              <w:ind w:left="614" w:right="598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  <w:tc>
          <w:tcPr>
            <w:tcW w:w="2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92"/>
              <w:ind w:left="0" w:right="690"/>
              <w:jc w:val="right"/>
              <w:rPr>
                <w:sz w:val="26"/>
              </w:rPr>
            </w:pPr>
            <w:r>
              <w:rPr>
                <w:sz w:val="26"/>
              </w:rPr>
              <w:t>1.0000</w:t>
            </w:r>
          </w:p>
        </w:tc>
      </w:tr>
    </w:tbl>
    <w:p>
      <w:pPr>
        <w:spacing w:after="0"/>
        <w:jc w:val="right"/>
        <w:rPr>
          <w:sz w:val="26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81"/>
        <w:ind w:left="311" w:right="577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15: Sharpe Ratio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Far Month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Futures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7"/>
        </w:rPr>
      </w:pPr>
      <w:r>
        <w:rPr/>
        <w:pict>
          <v:group style="position:absolute;margin-left:71.879997pt;margin-top:12.101894pt;width:463.8pt;height:203.05pt;mso-position-horizontal-relative:page;mso-position-vertical-relative:paragraph;z-index:-15706624;mso-wrap-distance-left:0;mso-wrap-distance-right:0" coordorigin="1438,242" coordsize="9276,4061">
            <v:shape style="position:absolute;left:1478;top:282;width:9195;height:3980" type="#_x0000_t75" stroked="false">
              <v:imagedata r:id="rId49" o:title=""/>
            </v:shape>
            <v:rect style="position:absolute;left:1458;top:262;width:9236;height:4020" filled="false" stroked="true" strokeweight="2.04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Heading2"/>
        <w:numPr>
          <w:ilvl w:val="1"/>
          <w:numId w:val="10"/>
        </w:numPr>
        <w:tabs>
          <w:tab w:pos="583" w:val="left" w:leader="none"/>
        </w:tabs>
        <w:spacing w:line="456" w:lineRule="auto" w:before="176" w:after="0"/>
        <w:ind w:left="131" w:right="6284" w:firstLine="0"/>
        <w:jc w:val="left"/>
      </w:pPr>
      <w:bookmarkStart w:name="_bookmark20" w:id="36"/>
      <w:bookmarkEnd w:id="36"/>
      <w:r>
        <w:rPr>
          <w:b w:val="0"/>
        </w:rPr>
      </w:r>
      <w:bookmarkStart w:name="_bookmark20" w:id="37"/>
      <w:bookmarkEnd w:id="37"/>
      <w:r>
        <w:rPr/>
        <w:t>E</w:t>
      </w:r>
      <w:r>
        <w:rPr/>
        <w:t>conomic</w:t>
      </w:r>
      <w:r>
        <w:rPr>
          <w:spacing w:val="-12"/>
        </w:rPr>
        <w:t> </w:t>
      </w:r>
      <w:r>
        <w:rPr/>
        <w:t>Interpretation</w:t>
      </w:r>
      <w:r>
        <w:rPr>
          <w:spacing w:val="-72"/>
        </w:rPr>
        <w:t> </w:t>
      </w:r>
      <w:r>
        <w:rPr/>
        <w:t>Observations</w:t>
      </w:r>
    </w:p>
    <w:p>
      <w:pPr>
        <w:pStyle w:val="BodyText"/>
        <w:spacing w:before="113"/>
        <w:ind w:left="131"/>
      </w:pPr>
      <w:r>
        <w:rPr/>
        <w:t>Comparing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frequency,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observe:</w:t>
      </w:r>
    </w:p>
    <w:p>
      <w:pPr>
        <w:pStyle w:val="ListParagraph"/>
        <w:numPr>
          <w:ilvl w:val="0"/>
          <w:numId w:val="11"/>
        </w:numPr>
        <w:tabs>
          <w:tab w:pos="851" w:val="left" w:leader="none"/>
          <w:tab w:pos="852" w:val="left" w:leader="none"/>
        </w:tabs>
        <w:spacing w:line="300" w:lineRule="auto" w:before="70" w:after="0"/>
        <w:ind w:left="851" w:right="163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mean risk-unadjusted</w:t>
      </w:r>
      <w:r>
        <w:rPr>
          <w:spacing w:val="1"/>
          <w:sz w:val="24"/>
        </w:rPr>
        <w:t> </w:t>
      </w:r>
      <w:r>
        <w:rPr>
          <w:sz w:val="24"/>
        </w:rPr>
        <w:t>returns follow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trend:</w:t>
      </w:r>
      <w:r>
        <w:rPr>
          <w:spacing w:val="1"/>
          <w:sz w:val="24"/>
        </w:rPr>
        <w:t> </w:t>
      </w:r>
      <w:r>
        <w:rPr>
          <w:sz w:val="24"/>
        </w:rPr>
        <w:t>Monthly</w:t>
      </w:r>
      <w:r>
        <w:rPr>
          <w:spacing w:val="-6"/>
          <w:sz w:val="24"/>
        </w:rPr>
        <w:t> </w:t>
      </w:r>
      <w:r>
        <w:rPr>
          <w:sz w:val="24"/>
        </w:rPr>
        <w:t>&gt;</w:t>
      </w:r>
      <w:r>
        <w:rPr>
          <w:spacing w:val="-1"/>
          <w:sz w:val="24"/>
        </w:rPr>
        <w:t> </w:t>
      </w:r>
      <w:r>
        <w:rPr>
          <w:sz w:val="24"/>
        </w:rPr>
        <w:t>Weekly</w:t>
      </w:r>
      <w:r>
        <w:rPr>
          <w:spacing w:val="-4"/>
          <w:sz w:val="24"/>
        </w:rPr>
        <w:t> </w:t>
      </w:r>
      <w:r>
        <w:rPr>
          <w:sz w:val="24"/>
        </w:rPr>
        <w:t>&gt;</w:t>
      </w:r>
      <w:r>
        <w:rPr>
          <w:spacing w:val="-1"/>
          <w:sz w:val="24"/>
        </w:rPr>
        <w:t> </w:t>
      </w:r>
      <w:r>
        <w:rPr>
          <w:sz w:val="24"/>
        </w:rPr>
        <w:t>Daily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2"/>
          <w:sz w:val="24"/>
        </w:rPr>
        <w:t> </w:t>
      </w:r>
      <w:r>
        <w:rPr>
          <w:sz w:val="24"/>
        </w:rPr>
        <w:t>trend is observed for</w:t>
      </w:r>
      <w:r>
        <w:rPr>
          <w:spacing w:val="-2"/>
          <w:sz w:val="24"/>
        </w:rPr>
        <w:t> </w:t>
      </w:r>
      <w:r>
        <w:rPr>
          <w:sz w:val="24"/>
        </w:rPr>
        <w:t>mean risk-adjusted</w:t>
      </w:r>
      <w:r>
        <w:rPr>
          <w:spacing w:val="2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11"/>
        </w:numPr>
        <w:tabs>
          <w:tab w:pos="851" w:val="left" w:leader="none"/>
          <w:tab w:pos="852" w:val="left" w:leader="none"/>
        </w:tabs>
        <w:spacing w:line="300" w:lineRule="auto" w:before="0" w:after="0"/>
        <w:ind w:left="851" w:right="454" w:hanging="360"/>
        <w:jc w:val="left"/>
        <w:rPr>
          <w:sz w:val="24"/>
        </w:rPr>
      </w:pPr>
      <w:r>
        <w:rPr>
          <w:sz w:val="24"/>
        </w:rPr>
        <w:t>However,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standard</w:t>
      </w:r>
      <w:r>
        <w:rPr>
          <w:spacing w:val="-6"/>
          <w:sz w:val="24"/>
        </w:rPr>
        <w:t> </w:t>
      </w:r>
      <w:r>
        <w:rPr>
          <w:sz w:val="24"/>
        </w:rPr>
        <w:t>deviation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both</w:t>
      </w:r>
      <w:r>
        <w:rPr>
          <w:spacing w:val="-5"/>
          <w:sz w:val="24"/>
        </w:rPr>
        <w:t> </w:t>
      </w:r>
      <w:r>
        <w:rPr>
          <w:sz w:val="24"/>
        </w:rPr>
        <w:t>risk-unadjusted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risk-adjusted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follows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Daily</w:t>
      </w:r>
      <w:r>
        <w:rPr>
          <w:spacing w:val="-3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Monthly</w:t>
      </w:r>
      <w:r>
        <w:rPr>
          <w:spacing w:val="-3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Weekly</w:t>
      </w:r>
      <w:r>
        <w:rPr>
          <w:spacing w:val="-5"/>
          <w:sz w:val="24"/>
        </w:rPr>
        <w:t> </w:t>
      </w:r>
      <w:r>
        <w:rPr>
          <w:sz w:val="24"/>
        </w:rPr>
        <w:t>trend.</w:t>
      </w:r>
    </w:p>
    <w:p>
      <w:pPr>
        <w:pStyle w:val="BodyText"/>
        <w:spacing w:line="297" w:lineRule="auto" w:before="1"/>
        <w:ind w:left="851" w:right="460"/>
      </w:pPr>
      <w:r>
        <w:rPr/>
        <w:t>Thus,</w:t>
      </w:r>
      <w:r>
        <w:rPr>
          <w:spacing w:val="38"/>
        </w:rPr>
        <w:t> </w:t>
      </w:r>
      <w:r>
        <w:rPr/>
        <w:t>this</w:t>
      </w:r>
      <w:r>
        <w:rPr>
          <w:spacing w:val="38"/>
        </w:rPr>
        <w:t> </w:t>
      </w:r>
      <w:r>
        <w:rPr/>
        <w:t>indicates</w:t>
      </w:r>
      <w:r>
        <w:rPr>
          <w:spacing w:val="37"/>
        </w:rPr>
        <w:t> </w:t>
      </w:r>
      <w:r>
        <w:rPr/>
        <w:t>that</w:t>
      </w:r>
      <w:r>
        <w:rPr>
          <w:spacing w:val="35"/>
        </w:rPr>
        <w:t> </w:t>
      </w:r>
      <w:r>
        <w:rPr/>
        <w:t>weekly</w:t>
      </w:r>
      <w:r>
        <w:rPr>
          <w:spacing w:val="34"/>
        </w:rPr>
        <w:t> </w:t>
      </w:r>
      <w:r>
        <w:rPr/>
        <w:t>frequency</w:t>
      </w:r>
      <w:r>
        <w:rPr>
          <w:spacing w:val="33"/>
        </w:rPr>
        <w:t> </w:t>
      </w:r>
      <w:r>
        <w:rPr/>
        <w:t>returns</w:t>
      </w:r>
      <w:r>
        <w:rPr>
          <w:spacing w:val="38"/>
        </w:rPr>
        <w:t> </w:t>
      </w:r>
      <w:r>
        <w:rPr/>
        <w:t>are</w:t>
      </w:r>
      <w:r>
        <w:rPr>
          <w:spacing w:val="36"/>
        </w:rPr>
        <w:t> </w:t>
      </w:r>
      <w:r>
        <w:rPr/>
        <w:t>more</w:t>
      </w:r>
      <w:r>
        <w:rPr>
          <w:spacing w:val="36"/>
        </w:rPr>
        <w:t> </w:t>
      </w:r>
      <w:r>
        <w:rPr/>
        <w:t>volatile</w:t>
      </w:r>
      <w:r>
        <w:rPr>
          <w:spacing w:val="38"/>
        </w:rPr>
        <w:t> </w:t>
      </w:r>
      <w:r>
        <w:rPr/>
        <w:t>than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daily</w:t>
      </w:r>
      <w:r>
        <w:rPr>
          <w:spacing w:val="33"/>
        </w:rPr>
        <w:t> </w:t>
      </w:r>
      <w:r>
        <w:rPr/>
        <w:t>and</w:t>
      </w:r>
      <w:r>
        <w:rPr>
          <w:spacing w:val="-57"/>
        </w:rPr>
        <w:t> </w:t>
      </w:r>
      <w:r>
        <w:rPr/>
        <w:t>monthly</w:t>
      </w:r>
      <w:r>
        <w:rPr>
          <w:spacing w:val="-6"/>
        </w:rPr>
        <w:t> </w:t>
      </w:r>
      <w:r>
        <w:rPr/>
        <w:t>frequency</w:t>
      </w:r>
      <w:r>
        <w:rPr>
          <w:spacing w:val="-5"/>
        </w:rPr>
        <w:t> </w:t>
      </w:r>
      <w:r>
        <w:rPr/>
        <w:t>returns and hence,</w:t>
      </w:r>
      <w:r>
        <w:rPr>
          <w:spacing w:val="3"/>
        </w:rPr>
        <w:t> </w:t>
      </w:r>
      <w:r>
        <w:rPr/>
        <w:t>are</w:t>
      </w:r>
      <w:r>
        <w:rPr>
          <w:spacing w:val="-1"/>
        </w:rPr>
        <w:t> </w:t>
      </w:r>
      <w:r>
        <w:rPr/>
        <w:t>riskiest to invest in.</w:t>
      </w: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0"/>
          <w:numId w:val="11"/>
        </w:numPr>
        <w:tabs>
          <w:tab w:pos="851" w:val="left" w:leader="none"/>
          <w:tab w:pos="852" w:val="left" w:leader="none"/>
        </w:tabs>
        <w:spacing w:line="300" w:lineRule="auto" w:before="0" w:after="0"/>
        <w:ind w:left="851" w:right="45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9"/>
          <w:sz w:val="24"/>
        </w:rPr>
        <w:t> </w:t>
      </w:r>
      <w:r>
        <w:rPr>
          <w:sz w:val="24"/>
        </w:rPr>
        <w:t>positive</w:t>
      </w:r>
      <w:r>
        <w:rPr>
          <w:spacing w:val="50"/>
          <w:sz w:val="24"/>
        </w:rPr>
        <w:t> </w:t>
      </w:r>
      <w:r>
        <w:rPr>
          <w:sz w:val="24"/>
        </w:rPr>
        <w:t>mean</w:t>
      </w:r>
      <w:r>
        <w:rPr>
          <w:spacing w:val="51"/>
          <w:sz w:val="24"/>
        </w:rPr>
        <w:t> </w:t>
      </w:r>
      <w:r>
        <w:rPr>
          <w:sz w:val="24"/>
        </w:rPr>
        <w:t>Sharpe</w:t>
      </w:r>
      <w:r>
        <w:rPr>
          <w:spacing w:val="48"/>
          <w:sz w:val="24"/>
        </w:rPr>
        <w:t> </w:t>
      </w:r>
      <w:r>
        <w:rPr>
          <w:sz w:val="24"/>
        </w:rPr>
        <w:t>ratio</w:t>
      </w:r>
      <w:r>
        <w:rPr>
          <w:spacing w:val="51"/>
          <w:sz w:val="24"/>
        </w:rPr>
        <w:t> </w:t>
      </w:r>
      <w:r>
        <w:rPr>
          <w:sz w:val="24"/>
        </w:rPr>
        <w:t>indicates</w:t>
      </w:r>
      <w:r>
        <w:rPr>
          <w:spacing w:val="51"/>
          <w:sz w:val="24"/>
        </w:rPr>
        <w:t> </w:t>
      </w:r>
      <w:r>
        <w:rPr>
          <w:sz w:val="24"/>
        </w:rPr>
        <w:t>that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return</w:t>
      </w:r>
      <w:r>
        <w:rPr>
          <w:spacing w:val="51"/>
          <w:sz w:val="24"/>
        </w:rPr>
        <w:t> </w:t>
      </w:r>
      <w:r>
        <w:rPr>
          <w:sz w:val="24"/>
        </w:rPr>
        <w:t>on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Futures</w:t>
      </w:r>
      <w:r>
        <w:rPr>
          <w:spacing w:val="51"/>
          <w:sz w:val="24"/>
        </w:rPr>
        <w:t> </w:t>
      </w:r>
      <w:r>
        <w:rPr>
          <w:sz w:val="24"/>
        </w:rPr>
        <w:t>instrument</w:t>
      </w:r>
      <w:r>
        <w:rPr>
          <w:spacing w:val="51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expected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positive, i.e. the</w:t>
      </w:r>
      <w:r>
        <w:rPr>
          <w:spacing w:val="-1"/>
          <w:sz w:val="24"/>
        </w:rPr>
        <w:t> </w:t>
      </w:r>
      <w:r>
        <w:rPr>
          <w:sz w:val="24"/>
        </w:rPr>
        <w:t>firm may</w:t>
      </w:r>
      <w:r>
        <w:rPr>
          <w:spacing w:val="-3"/>
          <w:sz w:val="24"/>
        </w:rPr>
        <w:t> </w:t>
      </w:r>
      <w:r>
        <w:rPr>
          <w:sz w:val="24"/>
        </w:rPr>
        <w:t>generate</w:t>
      </w:r>
      <w:r>
        <w:rPr>
          <w:spacing w:val="1"/>
          <w:sz w:val="24"/>
        </w:rPr>
        <w:t> </w:t>
      </w:r>
      <w:r>
        <w:rPr>
          <w:sz w:val="24"/>
        </w:rPr>
        <w:t>profits.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131"/>
      </w:pPr>
      <w:r>
        <w:rPr/>
        <w:t>On comparing</w:t>
      </w:r>
      <w:r>
        <w:rPr>
          <w:spacing w:val="-4"/>
        </w:rPr>
        <w:t> </w:t>
      </w:r>
      <w:r>
        <w:rPr/>
        <w:t>the expiry</w:t>
      </w:r>
      <w:r>
        <w:rPr>
          <w:spacing w:val="-3"/>
        </w:rPr>
        <w:t> </w:t>
      </w:r>
      <w:r>
        <w:rPr/>
        <w:t>dates, 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observed:</w:t>
      </w:r>
    </w:p>
    <w:p>
      <w:pPr>
        <w:pStyle w:val="ListParagraph"/>
        <w:numPr>
          <w:ilvl w:val="0"/>
          <w:numId w:val="11"/>
        </w:numPr>
        <w:tabs>
          <w:tab w:pos="851" w:val="left" w:leader="none"/>
          <w:tab w:pos="852" w:val="left" w:leader="none"/>
        </w:tabs>
        <w:spacing w:line="240" w:lineRule="auto" w:before="69" w:after="0"/>
        <w:ind w:left="85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mean</w:t>
      </w:r>
      <w:r>
        <w:rPr>
          <w:spacing w:val="-1"/>
          <w:sz w:val="24"/>
        </w:rPr>
        <w:t> </w:t>
      </w:r>
      <w:r>
        <w:rPr>
          <w:sz w:val="24"/>
        </w:rPr>
        <w:t>unadjusted</w:t>
      </w:r>
      <w:r>
        <w:rPr>
          <w:spacing w:val="3"/>
          <w:sz w:val="24"/>
        </w:rPr>
        <w:t> </w:t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trend</w:t>
      </w:r>
      <w:r>
        <w:rPr>
          <w:spacing w:val="-1"/>
          <w:sz w:val="24"/>
        </w:rPr>
        <w:t> </w:t>
      </w:r>
      <w:r>
        <w:rPr>
          <w:sz w:val="24"/>
        </w:rPr>
        <w:t>as Next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Near &lt;</w:t>
      </w:r>
      <w:r>
        <w:rPr>
          <w:spacing w:val="-3"/>
          <w:sz w:val="24"/>
        </w:rPr>
        <w:t> </w:t>
      </w:r>
      <w:r>
        <w:rPr>
          <w:sz w:val="24"/>
        </w:rPr>
        <w:t>Far.</w:t>
      </w:r>
    </w:p>
    <w:p>
      <w:pPr>
        <w:pStyle w:val="ListParagraph"/>
        <w:numPr>
          <w:ilvl w:val="0"/>
          <w:numId w:val="11"/>
        </w:numPr>
        <w:tabs>
          <w:tab w:pos="851" w:val="left" w:leader="none"/>
          <w:tab w:pos="852" w:val="left" w:leader="none"/>
        </w:tabs>
        <w:spacing w:line="240" w:lineRule="auto" w:before="68" w:after="0"/>
        <w:ind w:left="85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mean</w:t>
      </w:r>
      <w:r>
        <w:rPr>
          <w:spacing w:val="-1"/>
          <w:sz w:val="24"/>
        </w:rPr>
        <w:t> </w:t>
      </w:r>
      <w:r>
        <w:rPr>
          <w:sz w:val="24"/>
        </w:rPr>
        <w:t>adjusted</w:t>
      </w:r>
      <w:r>
        <w:rPr>
          <w:spacing w:val="1"/>
          <w:sz w:val="24"/>
        </w:rPr>
        <w:t> </w:t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trend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Near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Far.</w:t>
      </w:r>
    </w:p>
    <w:p>
      <w:pPr>
        <w:pStyle w:val="ListParagraph"/>
        <w:numPr>
          <w:ilvl w:val="0"/>
          <w:numId w:val="11"/>
        </w:numPr>
        <w:tabs>
          <w:tab w:pos="851" w:val="left" w:leader="none"/>
          <w:tab w:pos="852" w:val="left" w:leader="none"/>
        </w:tabs>
        <w:spacing w:line="240" w:lineRule="auto" w:before="69" w:after="0"/>
        <w:ind w:left="85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standard</w:t>
      </w:r>
      <w:r>
        <w:rPr>
          <w:spacing w:val="-1"/>
          <w:sz w:val="24"/>
        </w:rPr>
        <w:t> </w:t>
      </w:r>
      <w:r>
        <w:rPr>
          <w:sz w:val="24"/>
        </w:rPr>
        <w:t>deviation (risk)</w:t>
      </w:r>
      <w:r>
        <w:rPr>
          <w:spacing w:val="-1"/>
          <w:sz w:val="24"/>
        </w:rPr>
        <w:t> </w:t>
      </w:r>
      <w:r>
        <w:rPr>
          <w:sz w:val="24"/>
        </w:rPr>
        <w:t>trends</w:t>
      </w:r>
      <w:r>
        <w:rPr>
          <w:spacing w:val="-1"/>
          <w:sz w:val="24"/>
        </w:rPr>
        <w:t> </w:t>
      </w:r>
      <w:r>
        <w:rPr>
          <w:sz w:val="24"/>
        </w:rPr>
        <w:t>as: Next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Near &lt;</w:t>
      </w:r>
      <w:r>
        <w:rPr>
          <w:spacing w:val="-1"/>
          <w:sz w:val="24"/>
        </w:rPr>
        <w:t> </w:t>
      </w:r>
      <w:r>
        <w:rPr>
          <w:sz w:val="24"/>
        </w:rPr>
        <w:t>Far.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2"/>
      </w:pPr>
      <w:r>
        <w:rPr/>
        <w:t>Actions</w:t>
      </w:r>
    </w:p>
    <w:p>
      <w:pPr>
        <w:pStyle w:val="BodyText"/>
        <w:spacing w:before="4"/>
        <w:rPr>
          <w:b/>
          <w:sz w:val="44"/>
        </w:rPr>
      </w:pPr>
    </w:p>
    <w:p>
      <w:pPr>
        <w:pStyle w:val="ListParagraph"/>
        <w:numPr>
          <w:ilvl w:val="0"/>
          <w:numId w:val="11"/>
        </w:numPr>
        <w:tabs>
          <w:tab w:pos="852" w:val="left" w:leader="none"/>
        </w:tabs>
        <w:spacing w:line="240" w:lineRule="auto" w:before="0" w:after="0"/>
        <w:ind w:left="851" w:right="0" w:hanging="361"/>
        <w:jc w:val="both"/>
        <w:rPr>
          <w:sz w:val="24"/>
        </w:rPr>
      </w:pP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loving</w:t>
      </w:r>
      <w:r>
        <w:rPr>
          <w:spacing w:val="-3"/>
          <w:sz w:val="24"/>
        </w:rPr>
        <w:t> </w:t>
      </w:r>
      <w:r>
        <w:rPr>
          <w:sz w:val="24"/>
        </w:rPr>
        <w:t>investors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either</w:t>
      </w:r>
      <w:r>
        <w:rPr>
          <w:spacing w:val="-1"/>
          <w:sz w:val="24"/>
        </w:rPr>
        <w:t> </w:t>
      </w:r>
      <w:r>
        <w:rPr>
          <w:sz w:val="24"/>
        </w:rPr>
        <w:t>aim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take</w:t>
      </w:r>
      <w:r>
        <w:rPr>
          <w:spacing w:val="-1"/>
          <w:sz w:val="24"/>
        </w:rPr>
        <w:t> </w:t>
      </w:r>
      <w:r>
        <w:rPr>
          <w:sz w:val="24"/>
        </w:rPr>
        <w:t>a</w:t>
      </w:r>
    </w:p>
    <w:p>
      <w:pPr>
        <w:pStyle w:val="ListParagraph"/>
        <w:numPr>
          <w:ilvl w:val="0"/>
          <w:numId w:val="12"/>
        </w:numPr>
        <w:tabs>
          <w:tab w:pos="1572" w:val="left" w:leader="none"/>
        </w:tabs>
        <w:spacing w:line="297" w:lineRule="auto" w:before="69" w:after="0"/>
        <w:ind w:left="1571" w:right="454" w:hanging="360"/>
        <w:jc w:val="both"/>
        <w:rPr>
          <w:sz w:val="24"/>
        </w:rPr>
      </w:pPr>
      <w:r>
        <w:rPr>
          <w:sz w:val="24"/>
        </w:rPr>
        <w:t>long position in far month futures. Though the mean returns are highest of all</w:t>
      </w:r>
      <w:r>
        <w:rPr>
          <w:spacing w:val="1"/>
          <w:sz w:val="24"/>
        </w:rPr>
        <w:t> </w:t>
      </w:r>
      <w:r>
        <w:rPr>
          <w:sz w:val="24"/>
        </w:rPr>
        <w:t>frequencies,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risk associated with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returns</w:t>
      </w:r>
      <w:r>
        <w:rPr>
          <w:spacing w:val="2"/>
          <w:sz w:val="24"/>
        </w:rPr>
        <w:t> </w:t>
      </w:r>
      <w:r>
        <w:rPr>
          <w:sz w:val="24"/>
        </w:rPr>
        <w:t>is also considerably</w:t>
      </w:r>
      <w:r>
        <w:rPr>
          <w:spacing w:val="-6"/>
          <w:sz w:val="24"/>
        </w:rPr>
        <w:t> </w:t>
      </w:r>
      <w:r>
        <w:rPr>
          <w:sz w:val="24"/>
        </w:rPr>
        <w:t>high; or</w:t>
      </w:r>
    </w:p>
    <w:p>
      <w:pPr>
        <w:pStyle w:val="ListParagraph"/>
        <w:numPr>
          <w:ilvl w:val="0"/>
          <w:numId w:val="12"/>
        </w:numPr>
        <w:tabs>
          <w:tab w:pos="1572" w:val="left" w:leader="none"/>
        </w:tabs>
        <w:spacing w:line="300" w:lineRule="auto" w:before="5" w:after="0"/>
        <w:ind w:left="1571" w:right="452" w:hanging="360"/>
        <w:jc w:val="both"/>
        <w:rPr>
          <w:sz w:val="24"/>
        </w:rPr>
      </w:pPr>
      <w:r>
        <w:rPr>
          <w:sz w:val="24"/>
        </w:rPr>
        <w:t>short position in Far week futures. The risk associated with these returns is the</w:t>
      </w:r>
      <w:r>
        <w:rPr>
          <w:spacing w:val="1"/>
          <w:sz w:val="24"/>
        </w:rPr>
        <w:t> </w:t>
      </w:r>
      <w:r>
        <w:rPr>
          <w:sz w:val="24"/>
        </w:rPr>
        <w:t>highest, but the return on taking a short position in these contracts is also pretty</w:t>
      </w:r>
      <w:r>
        <w:rPr>
          <w:spacing w:val="1"/>
          <w:sz w:val="24"/>
        </w:rPr>
        <w:t> </w:t>
      </w:r>
      <w:r>
        <w:rPr>
          <w:sz w:val="24"/>
        </w:rPr>
        <w:t>valuable.</w:t>
      </w:r>
    </w:p>
    <w:p>
      <w:pPr>
        <w:pStyle w:val="ListParagraph"/>
        <w:numPr>
          <w:ilvl w:val="0"/>
          <w:numId w:val="11"/>
        </w:numPr>
        <w:tabs>
          <w:tab w:pos="852" w:val="left" w:leader="none"/>
        </w:tabs>
        <w:spacing w:line="300" w:lineRule="auto" w:before="0" w:after="0"/>
        <w:ind w:left="851" w:right="462" w:hanging="360"/>
        <w:jc w:val="both"/>
        <w:rPr>
          <w:sz w:val="24"/>
        </w:rPr>
      </w:pPr>
      <w:r>
        <w:rPr>
          <w:sz w:val="24"/>
        </w:rPr>
        <w:t>Risk-averse investors can opt for investment in the spot market rather than the futures</w:t>
      </w:r>
      <w:r>
        <w:rPr>
          <w:spacing w:val="1"/>
          <w:sz w:val="24"/>
        </w:rPr>
        <w:t> </w:t>
      </w:r>
      <w:r>
        <w:rPr>
          <w:sz w:val="24"/>
        </w:rPr>
        <w:t>market.</w:t>
      </w:r>
    </w:p>
    <w:p>
      <w:pPr>
        <w:pStyle w:val="ListParagraph"/>
        <w:numPr>
          <w:ilvl w:val="0"/>
          <w:numId w:val="11"/>
        </w:numPr>
        <w:tabs>
          <w:tab w:pos="852" w:val="left" w:leader="none"/>
        </w:tabs>
        <w:spacing w:line="300" w:lineRule="auto" w:before="1" w:after="0"/>
        <w:ind w:left="851" w:right="454" w:hanging="360"/>
        <w:jc w:val="both"/>
        <w:rPr>
          <w:sz w:val="24"/>
        </w:rPr>
      </w:pPr>
      <w:r>
        <w:rPr>
          <w:sz w:val="24"/>
        </w:rPr>
        <w:t>Based</w:t>
      </w:r>
      <w:r>
        <w:rPr>
          <w:spacing w:val="-12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Sharpe</w:t>
      </w:r>
      <w:r>
        <w:rPr>
          <w:spacing w:val="-12"/>
          <w:sz w:val="24"/>
        </w:rPr>
        <w:t> </w:t>
      </w:r>
      <w:r>
        <w:rPr>
          <w:sz w:val="24"/>
        </w:rPr>
        <w:t>ratio</w:t>
      </w:r>
      <w:r>
        <w:rPr>
          <w:spacing w:val="-9"/>
          <w:sz w:val="24"/>
        </w:rPr>
        <w:t> </w:t>
      </w:r>
      <w:r>
        <w:rPr>
          <w:sz w:val="24"/>
        </w:rPr>
        <w:t>calculations,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advisable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invest</w:t>
      </w:r>
      <w:r>
        <w:rPr>
          <w:spacing w:val="-11"/>
          <w:sz w:val="24"/>
        </w:rPr>
        <w:t> </w:t>
      </w:r>
      <w:r>
        <w:rPr>
          <w:sz w:val="24"/>
        </w:rPr>
        <w:t>long-term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CHOLAFIN</w:t>
      </w:r>
      <w:r>
        <w:rPr>
          <w:spacing w:val="-58"/>
          <w:sz w:val="24"/>
        </w:rPr>
        <w:t> </w:t>
      </w:r>
      <w:r>
        <w:rPr>
          <w:sz w:val="24"/>
        </w:rPr>
        <w:t>shares.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spacing w:before="0"/>
        <w:ind w:left="311" w:right="636"/>
        <w:jc w:val="center"/>
      </w:pPr>
      <w:bookmarkStart w:name="_bookmark21" w:id="38"/>
      <w:bookmarkEnd w:id="38"/>
      <w:r>
        <w:rPr>
          <w:b w:val="0"/>
        </w:rPr>
      </w:r>
      <w:r>
        <w:rPr>
          <w:u w:val="thick"/>
        </w:rPr>
        <w:t>SECTION</w:t>
      </w:r>
      <w:r>
        <w:rPr>
          <w:spacing w:val="-3"/>
          <w:u w:val="thick"/>
        </w:rPr>
        <w:t> </w:t>
      </w:r>
      <w:r>
        <w:rPr>
          <w:u w:val="thick"/>
        </w:rPr>
        <w:t>-</w:t>
      </w:r>
      <w:r>
        <w:rPr>
          <w:spacing w:val="-2"/>
          <w:u w:val="thick"/>
        </w:rPr>
        <w:t> </w:t>
      </w:r>
      <w:r>
        <w:rPr>
          <w:u w:val="thick"/>
        </w:rPr>
        <w:t>3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Heading3"/>
        <w:numPr>
          <w:ilvl w:val="1"/>
          <w:numId w:val="13"/>
        </w:numPr>
        <w:tabs>
          <w:tab w:pos="555" w:val="left" w:leader="none"/>
        </w:tabs>
        <w:spacing w:line="240" w:lineRule="auto" w:before="89" w:after="0"/>
        <w:ind w:left="554" w:right="0" w:hanging="424"/>
        <w:jc w:val="left"/>
      </w:pPr>
      <w:bookmarkStart w:name="_bookmark22" w:id="39"/>
      <w:bookmarkEnd w:id="39"/>
      <w:r>
        <w:rPr>
          <w:b w:val="0"/>
        </w:rPr>
      </w:r>
      <w:bookmarkStart w:name="_bookmark22" w:id="40"/>
      <w:bookmarkEnd w:id="40"/>
      <w:r>
        <w:rPr/>
        <w:t>C</w:t>
      </w:r>
      <w:r>
        <w:rPr/>
        <w:t>omparison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Unadjusted</w:t>
      </w:r>
      <w:r>
        <w:rPr>
          <w:spacing w:val="-2"/>
        </w:rPr>
        <w:t> </w:t>
      </w:r>
      <w:r>
        <w:rPr/>
        <w:t>&amp;</w:t>
      </w:r>
      <w:r>
        <w:rPr>
          <w:spacing w:val="-4"/>
        </w:rPr>
        <w:t> </w:t>
      </w:r>
      <w:r>
        <w:rPr/>
        <w:t>Adjusted</w:t>
      </w:r>
      <w:r>
        <w:rPr>
          <w:spacing w:val="-2"/>
        </w:rPr>
        <w:t> </w:t>
      </w:r>
      <w:r>
        <w:rPr/>
        <w:t>Returns</w:t>
      </w:r>
    </w:p>
    <w:p>
      <w:pPr>
        <w:pStyle w:val="BodyText"/>
        <w:rPr>
          <w:b/>
          <w:sz w:val="30"/>
        </w:rPr>
      </w:pPr>
    </w:p>
    <w:p>
      <w:pPr>
        <w:pStyle w:val="Heading2"/>
        <w:numPr>
          <w:ilvl w:val="2"/>
          <w:numId w:val="13"/>
        </w:numPr>
        <w:tabs>
          <w:tab w:pos="1032" w:val="left" w:leader="none"/>
        </w:tabs>
        <w:spacing w:line="240" w:lineRule="auto" w:before="222" w:after="0"/>
        <w:ind w:left="1031" w:right="0" w:hanging="678"/>
        <w:jc w:val="left"/>
      </w:pPr>
      <w:r>
        <w:rPr/>
        <w:t>Unadjusted</w:t>
      </w:r>
      <w:r>
        <w:rPr>
          <w:spacing w:val="-5"/>
        </w:rPr>
        <w:t> </w:t>
      </w:r>
      <w:r>
        <w:rPr/>
        <w:t>Returns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0"/>
        <w:gridCol w:w="1815"/>
        <w:gridCol w:w="1980"/>
        <w:gridCol w:w="2071"/>
        <w:gridCol w:w="2160"/>
      </w:tblGrid>
      <w:tr>
        <w:trPr>
          <w:trHeight w:val="908" w:hRule="atLeast"/>
        </w:trPr>
        <w:tc>
          <w:tcPr>
            <w:tcW w:w="1740" w:type="dxa"/>
            <w:vMerge w:val="restart"/>
            <w:tcBorders>
              <w:left w:val="nil"/>
            </w:tcBorders>
            <w:shd w:val="clear" w:color="auto" w:fill="FF9900"/>
          </w:tcPr>
          <w:p>
            <w:pPr>
              <w:pStyle w:val="TableParagraph"/>
              <w:spacing w:before="4"/>
              <w:ind w:left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27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Frequency</w:t>
            </w:r>
          </w:p>
        </w:tc>
        <w:tc>
          <w:tcPr>
            <w:tcW w:w="1815" w:type="dxa"/>
            <w:vMerge w:val="restart"/>
            <w:shd w:val="clear" w:color="auto" w:fill="FF9900"/>
          </w:tcPr>
          <w:p>
            <w:pPr>
              <w:pStyle w:val="TableParagraph"/>
              <w:spacing w:before="4"/>
              <w:ind w:left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2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Equity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Shares</w:t>
            </w:r>
          </w:p>
        </w:tc>
        <w:tc>
          <w:tcPr>
            <w:tcW w:w="6211" w:type="dxa"/>
            <w:gridSpan w:val="3"/>
            <w:shd w:val="clear" w:color="auto" w:fill="FF9900"/>
          </w:tcPr>
          <w:p>
            <w:pPr>
              <w:pStyle w:val="TableParagraph"/>
              <w:spacing w:before="4"/>
              <w:ind w:left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2242" w:right="2228"/>
              <w:rPr>
                <w:b/>
                <w:sz w:val="26"/>
              </w:rPr>
            </w:pPr>
            <w:r>
              <w:rPr>
                <w:b/>
                <w:sz w:val="26"/>
              </w:rPr>
              <w:t>Equity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Futures</w:t>
            </w:r>
          </w:p>
        </w:tc>
      </w:tr>
      <w:tr>
        <w:trPr>
          <w:trHeight w:val="553" w:hRule="atLeast"/>
        </w:trPr>
        <w:tc>
          <w:tcPr>
            <w:tcW w:w="1740" w:type="dxa"/>
            <w:vMerge/>
            <w:tcBorders>
              <w:top w:val="nil"/>
              <w:left w:val="nil"/>
            </w:tcBorders>
            <w:shd w:val="clear" w:color="auto" w:fill="FF99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15" w:type="dxa"/>
            <w:vMerge/>
            <w:tcBorders>
              <w:top w:val="nil"/>
            </w:tcBorders>
            <w:shd w:val="clear" w:color="auto" w:fill="FF99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0" w:type="dxa"/>
            <w:shd w:val="clear" w:color="auto" w:fill="FF9900"/>
          </w:tcPr>
          <w:p>
            <w:pPr>
              <w:pStyle w:val="TableParagraph"/>
              <w:spacing w:before="18"/>
              <w:ind w:left="276" w:right="257"/>
              <w:rPr>
                <w:b/>
                <w:sz w:val="26"/>
              </w:rPr>
            </w:pPr>
            <w:r>
              <w:rPr>
                <w:b/>
                <w:sz w:val="26"/>
              </w:rPr>
              <w:t>Near-Month</w:t>
            </w:r>
          </w:p>
        </w:tc>
        <w:tc>
          <w:tcPr>
            <w:tcW w:w="2071" w:type="dxa"/>
            <w:shd w:val="clear" w:color="auto" w:fill="FF9900"/>
          </w:tcPr>
          <w:p>
            <w:pPr>
              <w:pStyle w:val="TableParagraph"/>
              <w:spacing w:before="18"/>
              <w:ind w:left="334" w:right="319"/>
              <w:rPr>
                <w:b/>
                <w:sz w:val="26"/>
              </w:rPr>
            </w:pPr>
            <w:r>
              <w:rPr>
                <w:b/>
                <w:sz w:val="26"/>
              </w:rPr>
              <w:t>Next-Month</w:t>
            </w:r>
          </w:p>
        </w:tc>
        <w:tc>
          <w:tcPr>
            <w:tcW w:w="2160" w:type="dxa"/>
            <w:shd w:val="clear" w:color="auto" w:fill="FF9900"/>
          </w:tcPr>
          <w:p>
            <w:pPr>
              <w:pStyle w:val="TableParagraph"/>
              <w:spacing w:before="18"/>
              <w:ind w:left="436" w:right="422"/>
              <w:rPr>
                <w:b/>
                <w:sz w:val="26"/>
              </w:rPr>
            </w:pPr>
            <w:r>
              <w:rPr>
                <w:b/>
                <w:sz w:val="26"/>
              </w:rPr>
              <w:t>Far-Month</w:t>
            </w:r>
          </w:p>
        </w:tc>
      </w:tr>
      <w:tr>
        <w:trPr>
          <w:trHeight w:val="839" w:hRule="atLeast"/>
        </w:trPr>
        <w:tc>
          <w:tcPr>
            <w:tcW w:w="1740" w:type="dxa"/>
            <w:shd w:val="clear" w:color="auto" w:fill="F3F3F3"/>
          </w:tcPr>
          <w:p>
            <w:pPr>
              <w:pStyle w:val="TableParagraph"/>
              <w:spacing w:before="199"/>
              <w:ind w:left="570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1815" w:type="dxa"/>
            <w:shd w:val="clear" w:color="auto" w:fill="F3F3F3"/>
          </w:tcPr>
          <w:p>
            <w:pPr>
              <w:pStyle w:val="TableParagraph"/>
              <w:spacing w:before="196"/>
              <w:ind w:left="0" w:right="533"/>
              <w:jc w:val="right"/>
              <w:rPr>
                <w:sz w:val="26"/>
              </w:rPr>
            </w:pPr>
            <w:r>
              <w:rPr>
                <w:sz w:val="26"/>
              </w:rPr>
              <w:t>0.3416</w:t>
            </w:r>
          </w:p>
        </w:tc>
        <w:tc>
          <w:tcPr>
            <w:tcW w:w="1980" w:type="dxa"/>
            <w:shd w:val="clear" w:color="auto" w:fill="F3F3F3"/>
          </w:tcPr>
          <w:p>
            <w:pPr>
              <w:pStyle w:val="TableParagraph"/>
              <w:spacing w:before="196"/>
              <w:ind w:left="276" w:right="257"/>
              <w:rPr>
                <w:sz w:val="26"/>
              </w:rPr>
            </w:pPr>
            <w:r>
              <w:rPr>
                <w:sz w:val="26"/>
              </w:rPr>
              <w:t>0.3358</w:t>
            </w:r>
          </w:p>
        </w:tc>
        <w:tc>
          <w:tcPr>
            <w:tcW w:w="2071" w:type="dxa"/>
            <w:shd w:val="clear" w:color="auto" w:fill="F3F3F3"/>
          </w:tcPr>
          <w:p>
            <w:pPr>
              <w:pStyle w:val="TableParagraph"/>
              <w:spacing w:before="196"/>
              <w:ind w:left="334" w:right="319"/>
              <w:rPr>
                <w:sz w:val="26"/>
              </w:rPr>
            </w:pPr>
            <w:r>
              <w:rPr>
                <w:sz w:val="26"/>
              </w:rPr>
              <w:t>0.3327</w:t>
            </w:r>
          </w:p>
        </w:tc>
        <w:tc>
          <w:tcPr>
            <w:tcW w:w="2160" w:type="dxa"/>
            <w:shd w:val="clear" w:color="auto" w:fill="F3F3F3"/>
          </w:tcPr>
          <w:p>
            <w:pPr>
              <w:pStyle w:val="TableParagraph"/>
              <w:spacing w:before="196"/>
              <w:ind w:left="436" w:right="422"/>
              <w:rPr>
                <w:sz w:val="26"/>
              </w:rPr>
            </w:pPr>
            <w:r>
              <w:rPr>
                <w:sz w:val="26"/>
              </w:rPr>
              <w:t>0.3445</w:t>
            </w:r>
          </w:p>
        </w:tc>
      </w:tr>
      <w:tr>
        <w:trPr>
          <w:trHeight w:val="829" w:hRule="atLeast"/>
        </w:trPr>
        <w:tc>
          <w:tcPr>
            <w:tcW w:w="1740" w:type="dxa"/>
            <w:shd w:val="clear" w:color="auto" w:fill="F3F3F3"/>
          </w:tcPr>
          <w:p>
            <w:pPr>
              <w:pStyle w:val="TableParagraph"/>
              <w:spacing w:before="198"/>
              <w:ind w:left="0" w:right="434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1815" w:type="dxa"/>
            <w:shd w:val="clear" w:color="auto" w:fill="F3F3F3"/>
          </w:tcPr>
          <w:p>
            <w:pPr>
              <w:pStyle w:val="TableParagraph"/>
              <w:spacing w:before="196"/>
              <w:ind w:left="0" w:right="533"/>
              <w:jc w:val="right"/>
              <w:rPr>
                <w:sz w:val="26"/>
              </w:rPr>
            </w:pPr>
            <w:r>
              <w:rPr>
                <w:sz w:val="26"/>
              </w:rPr>
              <w:t>0.7163</w:t>
            </w:r>
          </w:p>
        </w:tc>
        <w:tc>
          <w:tcPr>
            <w:tcW w:w="1980" w:type="dxa"/>
            <w:shd w:val="clear" w:color="auto" w:fill="F3F3F3"/>
          </w:tcPr>
          <w:p>
            <w:pPr>
              <w:pStyle w:val="TableParagraph"/>
              <w:spacing w:before="196"/>
              <w:ind w:left="276" w:right="257"/>
              <w:rPr>
                <w:sz w:val="26"/>
              </w:rPr>
            </w:pPr>
            <w:r>
              <w:rPr>
                <w:sz w:val="26"/>
              </w:rPr>
              <w:t>1.7162</w:t>
            </w:r>
          </w:p>
        </w:tc>
        <w:tc>
          <w:tcPr>
            <w:tcW w:w="2071" w:type="dxa"/>
            <w:shd w:val="clear" w:color="auto" w:fill="F3F3F3"/>
          </w:tcPr>
          <w:p>
            <w:pPr>
              <w:pStyle w:val="TableParagraph"/>
              <w:spacing w:before="196"/>
              <w:ind w:left="334" w:right="319"/>
              <w:rPr>
                <w:sz w:val="26"/>
              </w:rPr>
            </w:pPr>
            <w:r>
              <w:rPr>
                <w:sz w:val="26"/>
              </w:rPr>
              <w:t>1.7036</w:t>
            </w:r>
          </w:p>
        </w:tc>
        <w:tc>
          <w:tcPr>
            <w:tcW w:w="2160" w:type="dxa"/>
            <w:shd w:val="clear" w:color="auto" w:fill="F3F3F3"/>
          </w:tcPr>
          <w:p>
            <w:pPr>
              <w:pStyle w:val="TableParagraph"/>
              <w:spacing w:before="196"/>
              <w:ind w:left="436" w:right="422"/>
              <w:rPr>
                <w:sz w:val="26"/>
              </w:rPr>
            </w:pPr>
            <w:r>
              <w:rPr>
                <w:sz w:val="26"/>
              </w:rPr>
              <w:t>1.7307</w:t>
            </w:r>
          </w:p>
        </w:tc>
      </w:tr>
      <w:tr>
        <w:trPr>
          <w:trHeight w:val="810" w:hRule="atLeast"/>
        </w:trPr>
        <w:tc>
          <w:tcPr>
            <w:tcW w:w="1740" w:type="dxa"/>
            <w:shd w:val="clear" w:color="auto" w:fill="F3F3F3"/>
          </w:tcPr>
          <w:p>
            <w:pPr>
              <w:pStyle w:val="TableParagraph"/>
              <w:spacing w:before="196"/>
              <w:ind w:left="0" w:right="376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  <w:tc>
          <w:tcPr>
            <w:tcW w:w="1815" w:type="dxa"/>
            <w:shd w:val="clear" w:color="auto" w:fill="F3F3F3"/>
          </w:tcPr>
          <w:p>
            <w:pPr>
              <w:pStyle w:val="TableParagraph"/>
              <w:spacing w:before="193"/>
              <w:ind w:left="0" w:right="533"/>
              <w:jc w:val="right"/>
              <w:rPr>
                <w:sz w:val="26"/>
              </w:rPr>
            </w:pPr>
            <w:r>
              <w:rPr>
                <w:sz w:val="26"/>
              </w:rPr>
              <w:t>5.3591</w:t>
            </w:r>
          </w:p>
        </w:tc>
        <w:tc>
          <w:tcPr>
            <w:tcW w:w="1980" w:type="dxa"/>
            <w:shd w:val="clear" w:color="auto" w:fill="F3F3F3"/>
          </w:tcPr>
          <w:p>
            <w:pPr>
              <w:pStyle w:val="TableParagraph"/>
              <w:spacing w:before="193"/>
              <w:ind w:left="276" w:right="257"/>
              <w:rPr>
                <w:sz w:val="26"/>
              </w:rPr>
            </w:pPr>
            <w:r>
              <w:rPr>
                <w:sz w:val="26"/>
              </w:rPr>
              <w:t>12.2124</w:t>
            </w:r>
          </w:p>
        </w:tc>
        <w:tc>
          <w:tcPr>
            <w:tcW w:w="2071" w:type="dxa"/>
            <w:shd w:val="clear" w:color="auto" w:fill="F3F3F3"/>
          </w:tcPr>
          <w:p>
            <w:pPr>
              <w:pStyle w:val="TableParagraph"/>
              <w:spacing w:before="193"/>
              <w:ind w:left="334" w:right="319"/>
              <w:rPr>
                <w:sz w:val="26"/>
              </w:rPr>
            </w:pPr>
            <w:r>
              <w:rPr>
                <w:sz w:val="26"/>
              </w:rPr>
              <w:t>12.1649</w:t>
            </w:r>
          </w:p>
        </w:tc>
        <w:tc>
          <w:tcPr>
            <w:tcW w:w="2160" w:type="dxa"/>
            <w:shd w:val="clear" w:color="auto" w:fill="F3F3F3"/>
          </w:tcPr>
          <w:p>
            <w:pPr>
              <w:pStyle w:val="TableParagraph"/>
              <w:spacing w:before="193"/>
              <w:ind w:left="436" w:right="422"/>
              <w:rPr>
                <w:sz w:val="26"/>
              </w:rPr>
            </w:pPr>
            <w:r>
              <w:rPr>
                <w:sz w:val="26"/>
              </w:rPr>
              <w:t>12.2723</w:t>
            </w:r>
          </w:p>
        </w:tc>
      </w:tr>
    </w:tbl>
    <w:p>
      <w:pPr>
        <w:spacing w:line="247" w:lineRule="exact" w:before="0"/>
        <w:ind w:left="1120" w:right="0" w:firstLine="0"/>
        <w:jc w:val="left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16: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Unadjusted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Returns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Cholamandalam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Investment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Finance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Company</w:t>
      </w:r>
    </w:p>
    <w:p>
      <w:pPr>
        <w:spacing w:after="0" w:line="247" w:lineRule="exact"/>
        <w:jc w:val="left"/>
        <w:rPr>
          <w:sz w:val="22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i/>
          <w:sz w:val="20"/>
        </w:rPr>
      </w:pPr>
    </w:p>
    <w:p>
      <w:pPr>
        <w:pStyle w:val="Heading2"/>
        <w:numPr>
          <w:ilvl w:val="2"/>
          <w:numId w:val="13"/>
        </w:numPr>
        <w:tabs>
          <w:tab w:pos="883" w:val="left" w:leader="none"/>
        </w:tabs>
        <w:spacing w:line="240" w:lineRule="auto" w:before="252" w:after="0"/>
        <w:ind w:left="882" w:right="0" w:hanging="677"/>
        <w:jc w:val="left"/>
      </w:pPr>
      <w:r>
        <w:rPr/>
        <w:t>Adjusted</w:t>
      </w:r>
      <w:r>
        <w:rPr>
          <w:spacing w:val="-3"/>
        </w:rPr>
        <w:t> </w:t>
      </w:r>
      <w:r>
        <w:rPr/>
        <w:t>Returns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9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0"/>
        <w:gridCol w:w="1815"/>
        <w:gridCol w:w="1980"/>
        <w:gridCol w:w="2071"/>
        <w:gridCol w:w="2160"/>
      </w:tblGrid>
      <w:tr>
        <w:trPr>
          <w:trHeight w:val="908" w:hRule="atLeast"/>
        </w:trPr>
        <w:tc>
          <w:tcPr>
            <w:tcW w:w="1740" w:type="dxa"/>
            <w:vMerge w:val="restart"/>
            <w:tcBorders>
              <w:left w:val="nil"/>
            </w:tcBorders>
            <w:shd w:val="clear" w:color="auto" w:fill="FF9900"/>
          </w:tcPr>
          <w:p>
            <w:pPr>
              <w:pStyle w:val="TableParagraph"/>
              <w:spacing w:before="4"/>
              <w:ind w:left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27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Frequency</w:t>
            </w:r>
          </w:p>
        </w:tc>
        <w:tc>
          <w:tcPr>
            <w:tcW w:w="1815" w:type="dxa"/>
            <w:vMerge w:val="restart"/>
            <w:shd w:val="clear" w:color="auto" w:fill="FF9900"/>
          </w:tcPr>
          <w:p>
            <w:pPr>
              <w:pStyle w:val="TableParagraph"/>
              <w:spacing w:before="4"/>
              <w:ind w:left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2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Equity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Shares</w:t>
            </w:r>
          </w:p>
        </w:tc>
        <w:tc>
          <w:tcPr>
            <w:tcW w:w="6211" w:type="dxa"/>
            <w:gridSpan w:val="3"/>
            <w:shd w:val="clear" w:color="auto" w:fill="FF9900"/>
          </w:tcPr>
          <w:p>
            <w:pPr>
              <w:pStyle w:val="TableParagraph"/>
              <w:spacing w:before="4"/>
              <w:ind w:left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2242" w:right="2228"/>
              <w:rPr>
                <w:b/>
                <w:sz w:val="26"/>
              </w:rPr>
            </w:pPr>
            <w:r>
              <w:rPr>
                <w:b/>
                <w:sz w:val="26"/>
              </w:rPr>
              <w:t>Equity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Futures</w:t>
            </w:r>
          </w:p>
        </w:tc>
      </w:tr>
      <w:tr>
        <w:trPr>
          <w:trHeight w:val="553" w:hRule="atLeast"/>
        </w:trPr>
        <w:tc>
          <w:tcPr>
            <w:tcW w:w="1740" w:type="dxa"/>
            <w:vMerge/>
            <w:tcBorders>
              <w:top w:val="nil"/>
              <w:left w:val="nil"/>
            </w:tcBorders>
            <w:shd w:val="clear" w:color="auto" w:fill="FF99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15" w:type="dxa"/>
            <w:vMerge/>
            <w:tcBorders>
              <w:top w:val="nil"/>
            </w:tcBorders>
            <w:shd w:val="clear" w:color="auto" w:fill="FF99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0" w:type="dxa"/>
            <w:shd w:val="clear" w:color="auto" w:fill="FF9900"/>
          </w:tcPr>
          <w:p>
            <w:pPr>
              <w:pStyle w:val="TableParagraph"/>
              <w:spacing w:before="18"/>
              <w:ind w:left="276" w:right="257"/>
              <w:rPr>
                <w:b/>
                <w:sz w:val="26"/>
              </w:rPr>
            </w:pPr>
            <w:r>
              <w:rPr>
                <w:b/>
                <w:sz w:val="26"/>
              </w:rPr>
              <w:t>Near-Month</w:t>
            </w:r>
          </w:p>
        </w:tc>
        <w:tc>
          <w:tcPr>
            <w:tcW w:w="2071" w:type="dxa"/>
            <w:shd w:val="clear" w:color="auto" w:fill="FF9900"/>
          </w:tcPr>
          <w:p>
            <w:pPr>
              <w:pStyle w:val="TableParagraph"/>
              <w:spacing w:before="18"/>
              <w:ind w:left="334" w:right="319"/>
              <w:rPr>
                <w:b/>
                <w:sz w:val="26"/>
              </w:rPr>
            </w:pPr>
            <w:r>
              <w:rPr>
                <w:b/>
                <w:sz w:val="26"/>
              </w:rPr>
              <w:t>Next-Month</w:t>
            </w:r>
          </w:p>
        </w:tc>
        <w:tc>
          <w:tcPr>
            <w:tcW w:w="2160" w:type="dxa"/>
            <w:shd w:val="clear" w:color="auto" w:fill="FF9900"/>
          </w:tcPr>
          <w:p>
            <w:pPr>
              <w:pStyle w:val="TableParagraph"/>
              <w:spacing w:before="18"/>
              <w:ind w:left="436" w:right="422"/>
              <w:rPr>
                <w:b/>
                <w:sz w:val="26"/>
              </w:rPr>
            </w:pPr>
            <w:r>
              <w:rPr>
                <w:b/>
                <w:sz w:val="26"/>
              </w:rPr>
              <w:t>Far-Month</w:t>
            </w:r>
          </w:p>
        </w:tc>
      </w:tr>
      <w:tr>
        <w:trPr>
          <w:trHeight w:val="839" w:hRule="atLeast"/>
        </w:trPr>
        <w:tc>
          <w:tcPr>
            <w:tcW w:w="1740" w:type="dxa"/>
            <w:shd w:val="clear" w:color="auto" w:fill="F3F3F3"/>
          </w:tcPr>
          <w:p>
            <w:pPr>
              <w:pStyle w:val="TableParagraph"/>
              <w:spacing w:before="198"/>
              <w:ind w:left="570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Daily</w:t>
            </w:r>
          </w:p>
        </w:tc>
        <w:tc>
          <w:tcPr>
            <w:tcW w:w="1815" w:type="dxa"/>
            <w:shd w:val="clear" w:color="auto" w:fill="F3F3F3"/>
          </w:tcPr>
          <w:p>
            <w:pPr>
              <w:pStyle w:val="TableParagraph"/>
              <w:spacing w:before="196"/>
              <w:ind w:left="0" w:right="533"/>
              <w:jc w:val="right"/>
              <w:rPr>
                <w:sz w:val="26"/>
              </w:rPr>
            </w:pPr>
            <w:r>
              <w:rPr>
                <w:sz w:val="26"/>
              </w:rPr>
              <w:t>0.2050</w:t>
            </w:r>
          </w:p>
        </w:tc>
        <w:tc>
          <w:tcPr>
            <w:tcW w:w="1980" w:type="dxa"/>
            <w:shd w:val="clear" w:color="auto" w:fill="F3F3F3"/>
          </w:tcPr>
          <w:p>
            <w:pPr>
              <w:pStyle w:val="TableParagraph"/>
              <w:spacing w:before="196"/>
              <w:ind w:left="276" w:right="257"/>
              <w:rPr>
                <w:sz w:val="26"/>
              </w:rPr>
            </w:pPr>
            <w:r>
              <w:rPr>
                <w:sz w:val="26"/>
              </w:rPr>
              <w:t>0.3194</w:t>
            </w:r>
          </w:p>
        </w:tc>
        <w:tc>
          <w:tcPr>
            <w:tcW w:w="2071" w:type="dxa"/>
            <w:shd w:val="clear" w:color="auto" w:fill="F3F3F3"/>
          </w:tcPr>
          <w:p>
            <w:pPr>
              <w:pStyle w:val="TableParagraph"/>
              <w:spacing w:before="196"/>
              <w:ind w:left="334" w:right="319"/>
              <w:rPr>
                <w:sz w:val="26"/>
              </w:rPr>
            </w:pPr>
            <w:r>
              <w:rPr>
                <w:sz w:val="26"/>
              </w:rPr>
              <w:t>0.3163</w:t>
            </w:r>
          </w:p>
        </w:tc>
        <w:tc>
          <w:tcPr>
            <w:tcW w:w="2160" w:type="dxa"/>
            <w:shd w:val="clear" w:color="auto" w:fill="F3F3F3"/>
          </w:tcPr>
          <w:p>
            <w:pPr>
              <w:pStyle w:val="TableParagraph"/>
              <w:spacing w:before="196"/>
              <w:ind w:left="436" w:right="422"/>
              <w:rPr>
                <w:sz w:val="26"/>
              </w:rPr>
            </w:pPr>
            <w:r>
              <w:rPr>
                <w:sz w:val="26"/>
              </w:rPr>
              <w:t>0.3282</w:t>
            </w:r>
          </w:p>
        </w:tc>
      </w:tr>
      <w:tr>
        <w:trPr>
          <w:trHeight w:val="827" w:hRule="atLeast"/>
        </w:trPr>
        <w:tc>
          <w:tcPr>
            <w:tcW w:w="1740" w:type="dxa"/>
            <w:shd w:val="clear" w:color="auto" w:fill="F3F3F3"/>
          </w:tcPr>
          <w:p>
            <w:pPr>
              <w:pStyle w:val="TableParagraph"/>
              <w:spacing w:before="199"/>
              <w:ind w:left="0" w:right="434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Weekly</w:t>
            </w:r>
          </w:p>
        </w:tc>
        <w:tc>
          <w:tcPr>
            <w:tcW w:w="1815" w:type="dxa"/>
            <w:shd w:val="clear" w:color="auto" w:fill="F3F3F3"/>
          </w:tcPr>
          <w:p>
            <w:pPr>
              <w:pStyle w:val="TableParagraph"/>
              <w:spacing w:before="196"/>
              <w:ind w:left="0" w:right="533"/>
              <w:jc w:val="right"/>
              <w:rPr>
                <w:sz w:val="26"/>
              </w:rPr>
            </w:pPr>
            <w:r>
              <w:rPr>
                <w:sz w:val="26"/>
              </w:rPr>
              <w:t>1.6014</w:t>
            </w:r>
          </w:p>
        </w:tc>
        <w:tc>
          <w:tcPr>
            <w:tcW w:w="1980" w:type="dxa"/>
            <w:shd w:val="clear" w:color="auto" w:fill="F3F3F3"/>
          </w:tcPr>
          <w:p>
            <w:pPr>
              <w:pStyle w:val="TableParagraph"/>
              <w:spacing w:before="196"/>
              <w:ind w:left="276" w:right="257"/>
              <w:rPr>
                <w:sz w:val="26"/>
              </w:rPr>
            </w:pPr>
            <w:r>
              <w:rPr>
                <w:sz w:val="26"/>
              </w:rPr>
              <w:t>1.6019</w:t>
            </w:r>
          </w:p>
        </w:tc>
        <w:tc>
          <w:tcPr>
            <w:tcW w:w="2071" w:type="dxa"/>
            <w:shd w:val="clear" w:color="auto" w:fill="F3F3F3"/>
          </w:tcPr>
          <w:p>
            <w:pPr>
              <w:pStyle w:val="TableParagraph"/>
              <w:spacing w:before="196"/>
              <w:ind w:left="334" w:right="319"/>
              <w:rPr>
                <w:sz w:val="26"/>
              </w:rPr>
            </w:pPr>
            <w:r>
              <w:rPr>
                <w:sz w:val="26"/>
              </w:rPr>
              <w:t>1.5888</w:t>
            </w:r>
          </w:p>
        </w:tc>
        <w:tc>
          <w:tcPr>
            <w:tcW w:w="2160" w:type="dxa"/>
            <w:shd w:val="clear" w:color="auto" w:fill="F3F3F3"/>
          </w:tcPr>
          <w:p>
            <w:pPr>
              <w:pStyle w:val="TableParagraph"/>
              <w:spacing w:before="196"/>
              <w:ind w:left="436" w:right="422"/>
              <w:rPr>
                <w:sz w:val="26"/>
              </w:rPr>
            </w:pPr>
            <w:r>
              <w:rPr>
                <w:sz w:val="26"/>
              </w:rPr>
              <w:t>1.6181</w:t>
            </w:r>
          </w:p>
        </w:tc>
      </w:tr>
      <w:tr>
        <w:trPr>
          <w:trHeight w:val="810" w:hRule="atLeast"/>
        </w:trPr>
        <w:tc>
          <w:tcPr>
            <w:tcW w:w="1740" w:type="dxa"/>
            <w:shd w:val="clear" w:color="auto" w:fill="F3F3F3"/>
          </w:tcPr>
          <w:p>
            <w:pPr>
              <w:pStyle w:val="TableParagraph"/>
              <w:spacing w:before="198"/>
              <w:ind w:left="0" w:right="376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Monthly</w:t>
            </w:r>
          </w:p>
        </w:tc>
        <w:tc>
          <w:tcPr>
            <w:tcW w:w="1815" w:type="dxa"/>
            <w:shd w:val="clear" w:color="auto" w:fill="F3F3F3"/>
          </w:tcPr>
          <w:p>
            <w:pPr>
              <w:pStyle w:val="TableParagraph"/>
              <w:spacing w:before="196"/>
              <w:ind w:left="0" w:right="533"/>
              <w:jc w:val="right"/>
              <w:rPr>
                <w:sz w:val="26"/>
              </w:rPr>
            </w:pPr>
            <w:r>
              <w:rPr>
                <w:sz w:val="26"/>
              </w:rPr>
              <w:t>4.8614</w:t>
            </w:r>
          </w:p>
        </w:tc>
        <w:tc>
          <w:tcPr>
            <w:tcW w:w="1980" w:type="dxa"/>
            <w:shd w:val="clear" w:color="auto" w:fill="F3F3F3"/>
          </w:tcPr>
          <w:p>
            <w:pPr>
              <w:pStyle w:val="TableParagraph"/>
              <w:spacing w:before="196"/>
              <w:ind w:left="276" w:right="257"/>
              <w:rPr>
                <w:sz w:val="26"/>
              </w:rPr>
            </w:pPr>
            <w:r>
              <w:rPr>
                <w:sz w:val="26"/>
              </w:rPr>
              <w:t>11.7160</w:t>
            </w:r>
          </w:p>
        </w:tc>
        <w:tc>
          <w:tcPr>
            <w:tcW w:w="2071" w:type="dxa"/>
            <w:shd w:val="clear" w:color="auto" w:fill="F3F3F3"/>
          </w:tcPr>
          <w:p>
            <w:pPr>
              <w:pStyle w:val="TableParagraph"/>
              <w:spacing w:before="196"/>
              <w:ind w:left="334" w:right="319"/>
              <w:rPr>
                <w:sz w:val="26"/>
              </w:rPr>
            </w:pPr>
            <w:r>
              <w:rPr>
                <w:sz w:val="26"/>
              </w:rPr>
              <w:t>11.6686</w:t>
            </w:r>
          </w:p>
        </w:tc>
        <w:tc>
          <w:tcPr>
            <w:tcW w:w="2160" w:type="dxa"/>
            <w:shd w:val="clear" w:color="auto" w:fill="F3F3F3"/>
          </w:tcPr>
          <w:p>
            <w:pPr>
              <w:pStyle w:val="TableParagraph"/>
              <w:spacing w:before="196"/>
              <w:ind w:left="436" w:right="422"/>
              <w:rPr>
                <w:sz w:val="26"/>
              </w:rPr>
            </w:pPr>
            <w:r>
              <w:rPr>
                <w:sz w:val="26"/>
              </w:rPr>
              <w:t>11.7768</w:t>
            </w:r>
          </w:p>
        </w:tc>
      </w:tr>
    </w:tbl>
    <w:p>
      <w:pPr>
        <w:spacing w:line="247" w:lineRule="exact" w:before="0"/>
        <w:ind w:left="309" w:right="637" w:firstLine="0"/>
        <w:jc w:val="center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17: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Adjusted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Returns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Cholamandalam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Investment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Finance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Company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6"/>
        </w:rPr>
      </w:pPr>
    </w:p>
    <w:p>
      <w:pPr>
        <w:pStyle w:val="ListParagraph"/>
        <w:numPr>
          <w:ilvl w:val="3"/>
          <w:numId w:val="13"/>
        </w:numPr>
        <w:tabs>
          <w:tab w:pos="852" w:val="left" w:leader="none"/>
        </w:tabs>
        <w:spacing w:line="276" w:lineRule="auto" w:before="1" w:after="0"/>
        <w:ind w:left="851" w:right="459" w:hanging="360"/>
        <w:jc w:val="both"/>
        <w:rPr>
          <w:sz w:val="24"/>
        </w:rPr>
      </w:pPr>
      <w:r>
        <w:rPr>
          <w:sz w:val="24"/>
        </w:rPr>
        <w:t>Unadjusted daily returns on average are almost the same for the near month’s futures</w:t>
      </w:r>
      <w:r>
        <w:rPr>
          <w:spacing w:val="1"/>
          <w:sz w:val="24"/>
        </w:rPr>
        <w:t> </w:t>
      </w:r>
      <w:r>
        <w:rPr>
          <w:sz w:val="24"/>
        </w:rPr>
        <w:t>contract and unadjusted daily returns on the next month futures contract; meanwhile, the</w:t>
      </w:r>
      <w:r>
        <w:rPr>
          <w:spacing w:val="1"/>
          <w:sz w:val="24"/>
        </w:rPr>
        <w:t> </w:t>
      </w:r>
      <w:r>
        <w:rPr>
          <w:sz w:val="24"/>
        </w:rPr>
        <w:t>daily</w:t>
      </w:r>
      <w:r>
        <w:rPr>
          <w:spacing w:val="-5"/>
          <w:sz w:val="24"/>
        </w:rPr>
        <w:t> </w:t>
      </w:r>
      <w:r>
        <w:rPr>
          <w:sz w:val="24"/>
        </w:rPr>
        <w:t>return on underlying</w:t>
      </w:r>
      <w:r>
        <w:rPr>
          <w:spacing w:val="-2"/>
          <w:sz w:val="24"/>
        </w:rPr>
        <w:t> </w:t>
      </w:r>
      <w:r>
        <w:rPr>
          <w:sz w:val="24"/>
        </w:rPr>
        <w:t>equity</w:t>
      </w:r>
      <w:r>
        <w:rPr>
          <w:spacing w:val="-5"/>
          <w:sz w:val="24"/>
        </w:rPr>
        <w:t> </w:t>
      </w:r>
      <w:r>
        <w:rPr>
          <w:sz w:val="24"/>
        </w:rPr>
        <w:t>returns and far-month</w:t>
      </w:r>
      <w:r>
        <w:rPr>
          <w:spacing w:val="1"/>
          <w:sz w:val="24"/>
        </w:rPr>
        <w:t> </w:t>
      </w:r>
      <w:r>
        <w:rPr>
          <w:sz w:val="24"/>
        </w:rPr>
        <w:t>futures are</w:t>
      </w:r>
      <w:r>
        <w:rPr>
          <w:spacing w:val="-2"/>
          <w:sz w:val="24"/>
        </w:rPr>
        <w:t> </w:t>
      </w:r>
      <w:r>
        <w:rPr>
          <w:sz w:val="24"/>
        </w:rPr>
        <w:t>nearly</w:t>
      </w:r>
      <w:r>
        <w:rPr>
          <w:spacing w:val="-3"/>
          <w:sz w:val="24"/>
        </w:rPr>
        <w:t> </w:t>
      </w:r>
      <w:r>
        <w:rPr>
          <w:sz w:val="24"/>
        </w:rPr>
        <w:t>similar.</w:t>
      </w:r>
    </w:p>
    <w:p>
      <w:pPr>
        <w:pStyle w:val="ListParagraph"/>
        <w:numPr>
          <w:ilvl w:val="3"/>
          <w:numId w:val="13"/>
        </w:numPr>
        <w:tabs>
          <w:tab w:pos="852" w:val="left" w:leader="none"/>
        </w:tabs>
        <w:spacing w:line="276" w:lineRule="auto" w:before="0" w:after="0"/>
        <w:ind w:left="851" w:right="458" w:hanging="360"/>
        <w:jc w:val="both"/>
        <w:rPr>
          <w:sz w:val="24"/>
        </w:rPr>
      </w:pPr>
      <w:r>
        <w:rPr>
          <w:sz w:val="24"/>
        </w:rPr>
        <w:t>Unadjusted weekly returns on average are better for the far month futures contract than the</w:t>
      </w:r>
      <w:r>
        <w:rPr>
          <w:spacing w:val="-57"/>
          <w:sz w:val="24"/>
        </w:rPr>
        <w:t> </w:t>
      </w:r>
      <w:r>
        <w:rPr>
          <w:sz w:val="24"/>
        </w:rPr>
        <w:t>return on the underlying asset; meanwhile, the return on near and next month futures</w:t>
      </w:r>
      <w:r>
        <w:rPr>
          <w:spacing w:val="1"/>
          <w:sz w:val="24"/>
        </w:rPr>
        <w:t> </w:t>
      </w:r>
      <w:r>
        <w:rPr>
          <w:sz w:val="24"/>
        </w:rPr>
        <w:t>contracts are</w:t>
      </w:r>
      <w:r>
        <w:rPr>
          <w:spacing w:val="-2"/>
          <w:sz w:val="24"/>
        </w:rPr>
        <w:t> </w:t>
      </w:r>
      <w:r>
        <w:rPr>
          <w:sz w:val="24"/>
        </w:rPr>
        <w:t>nearly</w:t>
      </w:r>
      <w:r>
        <w:rPr>
          <w:spacing w:val="-5"/>
          <w:sz w:val="24"/>
        </w:rPr>
        <w:t> </w:t>
      </w:r>
      <w:r>
        <w:rPr>
          <w:sz w:val="24"/>
        </w:rPr>
        <w:t>similar.</w:t>
      </w:r>
    </w:p>
    <w:p>
      <w:pPr>
        <w:pStyle w:val="ListParagraph"/>
        <w:numPr>
          <w:ilvl w:val="3"/>
          <w:numId w:val="13"/>
        </w:numPr>
        <w:tabs>
          <w:tab w:pos="852" w:val="left" w:leader="none"/>
        </w:tabs>
        <w:spacing w:line="276" w:lineRule="auto" w:before="0" w:after="0"/>
        <w:ind w:left="851" w:right="451" w:hanging="360"/>
        <w:jc w:val="both"/>
        <w:rPr>
          <w:sz w:val="24"/>
        </w:rPr>
      </w:pPr>
      <w:r>
        <w:rPr>
          <w:sz w:val="24"/>
        </w:rPr>
        <w:t>Unadjusted monthly returns on average are almost identical for the futures contracts (near,</w:t>
      </w:r>
      <w:r>
        <w:rPr>
          <w:spacing w:val="-57"/>
          <w:sz w:val="24"/>
        </w:rPr>
        <w:t> </w:t>
      </w:r>
      <w:r>
        <w:rPr>
          <w:sz w:val="24"/>
        </w:rPr>
        <w:t>next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far</w:t>
      </w:r>
      <w:r>
        <w:rPr>
          <w:spacing w:val="-8"/>
          <w:sz w:val="24"/>
        </w:rPr>
        <w:t> </w:t>
      </w:r>
      <w:r>
        <w:rPr>
          <w:sz w:val="24"/>
        </w:rPr>
        <w:t>months);</w:t>
      </w:r>
      <w:r>
        <w:rPr>
          <w:spacing w:val="-9"/>
          <w:sz w:val="24"/>
        </w:rPr>
        <w:t> </w:t>
      </w:r>
      <w:r>
        <w:rPr>
          <w:sz w:val="24"/>
        </w:rPr>
        <w:t>however,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returns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far</w:t>
      </w:r>
      <w:r>
        <w:rPr>
          <w:spacing w:val="-9"/>
          <w:sz w:val="24"/>
        </w:rPr>
        <w:t> </w:t>
      </w:r>
      <w:r>
        <w:rPr>
          <w:sz w:val="24"/>
        </w:rPr>
        <w:t>month</w:t>
      </w:r>
      <w:r>
        <w:rPr>
          <w:spacing w:val="-9"/>
          <w:sz w:val="24"/>
        </w:rPr>
        <w:t> </w:t>
      </w:r>
      <w:r>
        <w:rPr>
          <w:sz w:val="24"/>
        </w:rPr>
        <w:t>futures</w:t>
      </w:r>
      <w:r>
        <w:rPr>
          <w:spacing w:val="-7"/>
          <w:sz w:val="24"/>
        </w:rPr>
        <w:t> </w:t>
      </w:r>
      <w:r>
        <w:rPr>
          <w:sz w:val="24"/>
        </w:rPr>
        <w:t>contracts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marginally</w:t>
      </w:r>
      <w:r>
        <w:rPr>
          <w:spacing w:val="-58"/>
          <w:sz w:val="24"/>
        </w:rPr>
        <w:t> </w:t>
      </w:r>
      <w:r>
        <w:rPr>
          <w:sz w:val="24"/>
        </w:rPr>
        <w:t>higher</w:t>
      </w:r>
      <w:r>
        <w:rPr>
          <w:spacing w:val="-9"/>
          <w:sz w:val="24"/>
        </w:rPr>
        <w:t> </w:t>
      </w:r>
      <w:r>
        <w:rPr>
          <w:sz w:val="24"/>
        </w:rPr>
        <w:t>than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other</w:t>
      </w:r>
      <w:r>
        <w:rPr>
          <w:spacing w:val="-8"/>
          <w:sz w:val="24"/>
        </w:rPr>
        <w:t> </w:t>
      </w:r>
      <w:r>
        <w:rPr>
          <w:sz w:val="24"/>
        </w:rPr>
        <w:t>two.</w:t>
      </w:r>
      <w:r>
        <w:rPr>
          <w:spacing w:val="-7"/>
          <w:sz w:val="24"/>
        </w:rPr>
        <w:t> </w:t>
      </w:r>
      <w:r>
        <w:rPr>
          <w:sz w:val="24"/>
        </w:rPr>
        <w:t>Nevertheless,</w:t>
      </w:r>
      <w:r>
        <w:rPr>
          <w:spacing w:val="-8"/>
          <w:sz w:val="24"/>
        </w:rPr>
        <w:t> </w:t>
      </w:r>
      <w:r>
        <w:rPr>
          <w:sz w:val="24"/>
        </w:rPr>
        <w:t>monthly</w:t>
      </w:r>
      <w:r>
        <w:rPr>
          <w:spacing w:val="-11"/>
          <w:sz w:val="24"/>
        </w:rPr>
        <w:t> </w:t>
      </w:r>
      <w:r>
        <w:rPr>
          <w:sz w:val="24"/>
        </w:rPr>
        <w:t>equity</w:t>
      </w:r>
      <w:r>
        <w:rPr>
          <w:spacing w:val="-12"/>
          <w:sz w:val="24"/>
        </w:rPr>
        <w:t> </w:t>
      </w:r>
      <w:r>
        <w:rPr>
          <w:sz w:val="24"/>
        </w:rPr>
        <w:t>returns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z w:val="24"/>
        </w:rPr>
        <w:t>even</w:t>
      </w:r>
      <w:r>
        <w:rPr>
          <w:spacing w:val="-6"/>
          <w:sz w:val="24"/>
        </w:rPr>
        <w:t> </w:t>
      </w:r>
      <w:r>
        <w:rPr>
          <w:sz w:val="24"/>
        </w:rPr>
        <w:t>close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futures</w:t>
      </w:r>
      <w:r>
        <w:rPr>
          <w:spacing w:val="-58"/>
          <w:sz w:val="24"/>
        </w:rPr>
        <w:t> </w:t>
      </w:r>
      <w:r>
        <w:rPr>
          <w:sz w:val="24"/>
        </w:rPr>
        <w:t>contracts.</w:t>
      </w:r>
    </w:p>
    <w:p>
      <w:pPr>
        <w:pStyle w:val="ListParagraph"/>
        <w:numPr>
          <w:ilvl w:val="3"/>
          <w:numId w:val="13"/>
        </w:numPr>
        <w:tabs>
          <w:tab w:pos="852" w:val="left" w:leader="none"/>
        </w:tabs>
        <w:spacing w:line="276" w:lineRule="auto" w:before="0" w:after="0"/>
        <w:ind w:left="851" w:right="458" w:hanging="360"/>
        <w:jc w:val="both"/>
        <w:rPr>
          <w:sz w:val="24"/>
        </w:rPr>
      </w:pPr>
      <w:r>
        <w:rPr>
          <w:sz w:val="24"/>
        </w:rPr>
        <w:t>Adjusted</w:t>
      </w:r>
      <w:r>
        <w:rPr>
          <w:spacing w:val="-5"/>
          <w:sz w:val="24"/>
        </w:rPr>
        <w:t> </w:t>
      </w:r>
      <w:r>
        <w:rPr>
          <w:sz w:val="24"/>
        </w:rPr>
        <w:t>daily</w:t>
      </w:r>
      <w:r>
        <w:rPr>
          <w:spacing w:val="-9"/>
          <w:sz w:val="24"/>
        </w:rPr>
        <w:t> </w:t>
      </w:r>
      <w:r>
        <w:rPr>
          <w:sz w:val="24"/>
        </w:rPr>
        <w:t>returns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far</w:t>
      </w:r>
      <w:r>
        <w:rPr>
          <w:spacing w:val="-5"/>
          <w:sz w:val="24"/>
        </w:rPr>
        <w:t> </w:t>
      </w:r>
      <w:r>
        <w:rPr>
          <w:sz w:val="24"/>
        </w:rPr>
        <w:t>month’s</w:t>
      </w:r>
      <w:r>
        <w:rPr>
          <w:spacing w:val="-5"/>
          <w:sz w:val="24"/>
        </w:rPr>
        <w:t> </w:t>
      </w:r>
      <w:r>
        <w:rPr>
          <w:sz w:val="24"/>
        </w:rPr>
        <w:t>contract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better</w:t>
      </w:r>
      <w:r>
        <w:rPr>
          <w:spacing w:val="-5"/>
          <w:sz w:val="24"/>
        </w:rPr>
        <w:t> </w:t>
      </w:r>
      <w:r>
        <w:rPr>
          <w:sz w:val="24"/>
        </w:rPr>
        <w:t>than</w:t>
      </w:r>
      <w:r>
        <w:rPr>
          <w:spacing w:val="-4"/>
          <w:sz w:val="24"/>
        </w:rPr>
        <w:t> </w:t>
      </w:r>
      <w:r>
        <w:rPr>
          <w:sz w:val="24"/>
        </w:rPr>
        <w:t>adjusted</w:t>
      </w:r>
      <w:r>
        <w:rPr>
          <w:spacing w:val="-5"/>
          <w:sz w:val="24"/>
        </w:rPr>
        <w:t> </w:t>
      </w:r>
      <w:r>
        <w:rPr>
          <w:sz w:val="24"/>
        </w:rPr>
        <w:t>returns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shares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near and the next</w:t>
      </w:r>
      <w:r>
        <w:rPr>
          <w:spacing w:val="-2"/>
          <w:sz w:val="24"/>
        </w:rPr>
        <w:t> </w:t>
      </w:r>
      <w:r>
        <w:rPr>
          <w:sz w:val="24"/>
        </w:rPr>
        <w:t>months’ futures</w:t>
      </w:r>
      <w:r>
        <w:rPr>
          <w:spacing w:val="-1"/>
          <w:sz w:val="24"/>
        </w:rPr>
        <w:t> </w:t>
      </w:r>
      <w:r>
        <w:rPr>
          <w:sz w:val="24"/>
        </w:rPr>
        <w:t>contracts.</w:t>
      </w:r>
    </w:p>
    <w:p>
      <w:pPr>
        <w:pStyle w:val="ListParagraph"/>
        <w:numPr>
          <w:ilvl w:val="3"/>
          <w:numId w:val="13"/>
        </w:numPr>
        <w:tabs>
          <w:tab w:pos="852" w:val="left" w:leader="none"/>
        </w:tabs>
        <w:spacing w:line="276" w:lineRule="auto" w:before="1" w:after="0"/>
        <w:ind w:left="851" w:right="453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volatility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far</w:t>
      </w:r>
      <w:r>
        <w:rPr>
          <w:spacing w:val="-12"/>
          <w:sz w:val="24"/>
        </w:rPr>
        <w:t> </w:t>
      </w:r>
      <w:r>
        <w:rPr>
          <w:sz w:val="24"/>
        </w:rPr>
        <w:t>month</w:t>
      </w:r>
      <w:r>
        <w:rPr>
          <w:spacing w:val="-12"/>
          <w:sz w:val="24"/>
        </w:rPr>
        <w:t> </w:t>
      </w:r>
      <w:r>
        <w:rPr>
          <w:sz w:val="24"/>
        </w:rPr>
        <w:t>futures</w:t>
      </w:r>
      <w:r>
        <w:rPr>
          <w:spacing w:val="-11"/>
          <w:sz w:val="24"/>
        </w:rPr>
        <w:t> </w:t>
      </w:r>
      <w:r>
        <w:rPr>
          <w:sz w:val="24"/>
        </w:rPr>
        <w:t>daily</w:t>
      </w:r>
      <w:r>
        <w:rPr>
          <w:spacing w:val="-17"/>
          <w:sz w:val="24"/>
        </w:rPr>
        <w:t> </w:t>
      </w:r>
      <w:r>
        <w:rPr>
          <w:sz w:val="24"/>
        </w:rPr>
        <w:t>returns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lower</w:t>
      </w:r>
      <w:r>
        <w:rPr>
          <w:spacing w:val="-12"/>
          <w:sz w:val="24"/>
        </w:rPr>
        <w:t> </w:t>
      </w:r>
      <w:r>
        <w:rPr>
          <w:sz w:val="24"/>
        </w:rPr>
        <w:t>than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volatility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adjusted</w:t>
      </w:r>
      <w:r>
        <w:rPr>
          <w:spacing w:val="-12"/>
          <w:sz w:val="24"/>
        </w:rPr>
        <w:t> </w:t>
      </w:r>
      <w:r>
        <w:rPr>
          <w:sz w:val="24"/>
        </w:rPr>
        <w:t>equity</w:t>
      </w:r>
      <w:r>
        <w:rPr>
          <w:spacing w:val="-57"/>
          <w:sz w:val="24"/>
        </w:rPr>
        <w:t> </w:t>
      </w:r>
      <w:r>
        <w:rPr>
          <w:sz w:val="24"/>
        </w:rPr>
        <w:t>returns. Hence investing in far months’ futures contracts is the best option for risk-taking</w:t>
      </w:r>
      <w:r>
        <w:rPr>
          <w:spacing w:val="1"/>
          <w:sz w:val="24"/>
        </w:rPr>
        <w:t> </w:t>
      </w:r>
      <w:r>
        <w:rPr>
          <w:sz w:val="24"/>
        </w:rPr>
        <w:t>and risk-avoiding</w:t>
      </w:r>
      <w:r>
        <w:rPr>
          <w:spacing w:val="-3"/>
          <w:sz w:val="24"/>
        </w:rPr>
        <w:t> </w:t>
      </w:r>
      <w:r>
        <w:rPr>
          <w:sz w:val="24"/>
        </w:rPr>
        <w:t>investors.</w:t>
      </w:r>
    </w:p>
    <w:p>
      <w:pPr>
        <w:pStyle w:val="ListParagraph"/>
        <w:numPr>
          <w:ilvl w:val="3"/>
          <w:numId w:val="13"/>
        </w:numPr>
        <w:tabs>
          <w:tab w:pos="852" w:val="left" w:leader="none"/>
        </w:tabs>
        <w:spacing w:line="276" w:lineRule="auto" w:before="0" w:after="0"/>
        <w:ind w:left="851" w:right="458" w:hanging="360"/>
        <w:jc w:val="both"/>
        <w:rPr>
          <w:sz w:val="24"/>
        </w:rPr>
      </w:pPr>
      <w:r>
        <w:rPr>
          <w:sz w:val="24"/>
        </w:rPr>
        <w:t>Adjusted weekly returns on the far month futures contract are greater than the adjusted</w:t>
      </w:r>
      <w:r>
        <w:rPr>
          <w:spacing w:val="1"/>
          <w:sz w:val="24"/>
        </w:rPr>
        <w:t> </w:t>
      </w:r>
      <w:r>
        <w:rPr>
          <w:sz w:val="24"/>
        </w:rPr>
        <w:t>returns on the shares and current month future contract; meanwhile, the next month futures</w:t>
      </w:r>
      <w:r>
        <w:rPr>
          <w:spacing w:val="-58"/>
          <w:sz w:val="24"/>
        </w:rPr>
        <w:t> </w:t>
      </w:r>
      <w:r>
        <w:rPr>
          <w:sz w:val="24"/>
        </w:rPr>
        <w:t>yield</w:t>
      </w:r>
      <w:r>
        <w:rPr>
          <w:spacing w:val="-1"/>
          <w:sz w:val="24"/>
        </w:rPr>
        <w:t> </w:t>
      </w:r>
      <w:r>
        <w:rPr>
          <w:sz w:val="24"/>
        </w:rPr>
        <w:t>slightly</w:t>
      </w:r>
      <w:r>
        <w:rPr>
          <w:spacing w:val="-5"/>
          <w:sz w:val="24"/>
        </w:rPr>
        <w:t> </w:t>
      </w:r>
      <w:r>
        <w:rPr>
          <w:sz w:val="24"/>
        </w:rPr>
        <w:t>less return</w:t>
      </w:r>
      <w:r>
        <w:rPr>
          <w:spacing w:val="1"/>
          <w:sz w:val="24"/>
        </w:rPr>
        <w:t> </w:t>
      </w:r>
      <w:r>
        <w:rPr>
          <w:sz w:val="24"/>
        </w:rPr>
        <w:t>than others.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3"/>
          <w:numId w:val="13"/>
        </w:numPr>
        <w:tabs>
          <w:tab w:pos="852" w:val="left" w:leader="none"/>
        </w:tabs>
        <w:spacing w:line="276" w:lineRule="auto" w:before="82" w:after="0"/>
        <w:ind w:left="851" w:right="453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volatility</w:t>
      </w:r>
      <w:r>
        <w:rPr>
          <w:spacing w:val="-19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far</w:t>
      </w:r>
      <w:r>
        <w:rPr>
          <w:spacing w:val="-15"/>
          <w:sz w:val="24"/>
        </w:rPr>
        <w:t> </w:t>
      </w:r>
      <w:r>
        <w:rPr>
          <w:sz w:val="24"/>
        </w:rPr>
        <w:t>month</w:t>
      </w:r>
      <w:r>
        <w:rPr>
          <w:spacing w:val="-14"/>
          <w:sz w:val="24"/>
        </w:rPr>
        <w:t> </w:t>
      </w:r>
      <w:r>
        <w:rPr>
          <w:sz w:val="24"/>
        </w:rPr>
        <w:t>futures</w:t>
      </w:r>
      <w:r>
        <w:rPr>
          <w:spacing w:val="-14"/>
          <w:sz w:val="24"/>
        </w:rPr>
        <w:t> </w:t>
      </w:r>
      <w:r>
        <w:rPr>
          <w:sz w:val="24"/>
        </w:rPr>
        <w:t>weekly</w:t>
      </w:r>
      <w:r>
        <w:rPr>
          <w:spacing w:val="-19"/>
          <w:sz w:val="24"/>
        </w:rPr>
        <w:t> </w:t>
      </w:r>
      <w:r>
        <w:rPr>
          <w:sz w:val="24"/>
        </w:rPr>
        <w:t>returns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5"/>
          <w:sz w:val="24"/>
        </w:rPr>
        <w:t> </w:t>
      </w:r>
      <w:r>
        <w:rPr>
          <w:sz w:val="24"/>
        </w:rPr>
        <w:t>less</w:t>
      </w:r>
      <w:r>
        <w:rPr>
          <w:spacing w:val="-14"/>
          <w:sz w:val="24"/>
        </w:rPr>
        <w:t> </w:t>
      </w:r>
      <w:r>
        <w:rPr>
          <w:sz w:val="24"/>
        </w:rPr>
        <w:t>than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volatility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adjusted</w:t>
      </w:r>
      <w:r>
        <w:rPr>
          <w:spacing w:val="-14"/>
          <w:sz w:val="24"/>
        </w:rPr>
        <w:t> </w:t>
      </w:r>
      <w:r>
        <w:rPr>
          <w:sz w:val="24"/>
        </w:rPr>
        <w:t>equity</w:t>
      </w:r>
      <w:r>
        <w:rPr>
          <w:spacing w:val="-58"/>
          <w:sz w:val="24"/>
        </w:rPr>
        <w:t> </w:t>
      </w:r>
      <w:r>
        <w:rPr>
          <w:sz w:val="24"/>
        </w:rPr>
        <w:t>returns. Hence risk-loving investors can invest in CHOLAFIN equity shares; meanwhile,</w:t>
      </w:r>
      <w:r>
        <w:rPr>
          <w:spacing w:val="1"/>
          <w:sz w:val="24"/>
        </w:rPr>
        <w:t> </w:t>
      </w:r>
      <w:r>
        <w:rPr>
          <w:sz w:val="24"/>
        </w:rPr>
        <w:t>investors</w:t>
      </w:r>
      <w:r>
        <w:rPr>
          <w:spacing w:val="-1"/>
          <w:sz w:val="24"/>
        </w:rPr>
        <w:t> </w:t>
      </w:r>
      <w:r>
        <w:rPr>
          <w:sz w:val="24"/>
        </w:rPr>
        <w:t>looking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safer</w:t>
      </w:r>
      <w:r>
        <w:rPr>
          <w:spacing w:val="-1"/>
          <w:sz w:val="24"/>
        </w:rPr>
        <w:t> </w:t>
      </w:r>
      <w:r>
        <w:rPr>
          <w:sz w:val="24"/>
        </w:rPr>
        <w:t>investments can invest in</w:t>
      </w:r>
      <w:r>
        <w:rPr>
          <w:spacing w:val="-1"/>
          <w:sz w:val="24"/>
        </w:rPr>
        <w:t> </w:t>
      </w:r>
      <w:r>
        <w:rPr>
          <w:sz w:val="24"/>
        </w:rPr>
        <w:t>the far month</w:t>
      </w:r>
      <w:r>
        <w:rPr>
          <w:spacing w:val="-1"/>
          <w:sz w:val="24"/>
        </w:rPr>
        <w:t> </w:t>
      </w:r>
      <w:r>
        <w:rPr>
          <w:sz w:val="24"/>
        </w:rPr>
        <w:t>futures contract.</w:t>
      </w:r>
    </w:p>
    <w:p>
      <w:pPr>
        <w:pStyle w:val="ListParagraph"/>
        <w:numPr>
          <w:ilvl w:val="3"/>
          <w:numId w:val="13"/>
        </w:numPr>
        <w:tabs>
          <w:tab w:pos="852" w:val="left" w:leader="none"/>
        </w:tabs>
        <w:spacing w:line="276" w:lineRule="auto" w:before="1" w:after="0"/>
        <w:ind w:left="851" w:right="451" w:hanging="360"/>
        <w:jc w:val="both"/>
        <w:rPr>
          <w:sz w:val="24"/>
        </w:rPr>
      </w:pPr>
      <w:r>
        <w:rPr>
          <w:sz w:val="24"/>
        </w:rPr>
        <w:t>Adjusted monthly returns on the far month futures contract are far greater than adjusted</w:t>
      </w:r>
      <w:r>
        <w:rPr>
          <w:spacing w:val="1"/>
          <w:sz w:val="24"/>
        </w:rPr>
        <w:t> </w:t>
      </w:r>
      <w:r>
        <w:rPr>
          <w:sz w:val="24"/>
        </w:rPr>
        <w:t>returns on the share; meanwhile, the near and next month futures contract yields slightly</w:t>
      </w:r>
      <w:r>
        <w:rPr>
          <w:spacing w:val="1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return than the</w:t>
      </w:r>
      <w:r>
        <w:rPr>
          <w:spacing w:val="-2"/>
          <w:sz w:val="24"/>
        </w:rPr>
        <w:t> </w:t>
      </w:r>
      <w:r>
        <w:rPr>
          <w:sz w:val="24"/>
        </w:rPr>
        <w:t>far month futures contract.</w:t>
      </w:r>
    </w:p>
    <w:p>
      <w:pPr>
        <w:pStyle w:val="ListParagraph"/>
        <w:numPr>
          <w:ilvl w:val="3"/>
          <w:numId w:val="13"/>
        </w:numPr>
        <w:tabs>
          <w:tab w:pos="852" w:val="left" w:leader="none"/>
        </w:tabs>
        <w:spacing w:line="278" w:lineRule="auto" w:before="0" w:after="0"/>
        <w:ind w:left="851" w:right="456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volatility of</w:t>
      </w:r>
      <w:r>
        <w:rPr>
          <w:spacing w:val="1"/>
          <w:sz w:val="24"/>
        </w:rPr>
        <w:t> </w:t>
      </w:r>
      <w:r>
        <w:rPr>
          <w:sz w:val="24"/>
        </w:rPr>
        <w:t>monthly equity returns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greater</w:t>
      </w:r>
      <w:r>
        <w:rPr>
          <w:spacing w:val="1"/>
          <w:sz w:val="24"/>
        </w:rPr>
        <w:t> </w:t>
      </w:r>
      <w:r>
        <w:rPr>
          <w:sz w:val="24"/>
        </w:rPr>
        <w:t>than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futures</w:t>
      </w:r>
      <w:r>
        <w:rPr>
          <w:spacing w:val="1"/>
          <w:sz w:val="24"/>
        </w:rPr>
        <w:t> </w:t>
      </w:r>
      <w:r>
        <w:rPr>
          <w:sz w:val="24"/>
        </w:rPr>
        <w:t>contracts.</w:t>
      </w:r>
      <w:r>
        <w:rPr>
          <w:spacing w:val="1"/>
          <w:sz w:val="24"/>
        </w:rPr>
        <w:t> </w:t>
      </w:r>
      <w:r>
        <w:rPr>
          <w:sz w:val="24"/>
        </w:rPr>
        <w:t>Hence,</w:t>
      </w:r>
      <w:r>
        <w:rPr>
          <w:spacing w:val="1"/>
          <w:sz w:val="24"/>
        </w:rPr>
        <w:t> </w:t>
      </w:r>
      <w:r>
        <w:rPr>
          <w:sz w:val="24"/>
        </w:rPr>
        <w:t>investors looking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high risk and high</w:t>
      </w:r>
      <w:r>
        <w:rPr>
          <w:spacing w:val="2"/>
          <w:sz w:val="24"/>
        </w:rPr>
        <w:t> </w:t>
      </w:r>
      <w:r>
        <w:rPr>
          <w:sz w:val="24"/>
        </w:rPr>
        <w:t>returns</w:t>
      </w:r>
      <w:r>
        <w:rPr>
          <w:spacing w:val="1"/>
          <w:sz w:val="24"/>
        </w:rPr>
        <w:t> </w:t>
      </w:r>
      <w:r>
        <w:rPr>
          <w:sz w:val="24"/>
        </w:rPr>
        <w:t>can invest in monthly</w:t>
      </w:r>
      <w:r>
        <w:rPr>
          <w:spacing w:val="-8"/>
          <w:sz w:val="24"/>
        </w:rPr>
        <w:t> </w:t>
      </w:r>
      <w:r>
        <w:rPr>
          <w:sz w:val="24"/>
        </w:rPr>
        <w:t>equity</w:t>
      </w:r>
      <w:r>
        <w:rPr>
          <w:spacing w:val="-3"/>
          <w:sz w:val="24"/>
        </w:rPr>
        <w:t> </w:t>
      </w:r>
      <w:r>
        <w:rPr>
          <w:sz w:val="24"/>
        </w:rPr>
        <w:t>returns.</w:t>
      </w:r>
    </w:p>
    <w:p>
      <w:pPr>
        <w:pStyle w:val="ListParagraph"/>
        <w:numPr>
          <w:ilvl w:val="3"/>
          <w:numId w:val="13"/>
        </w:numPr>
        <w:tabs>
          <w:tab w:pos="852" w:val="left" w:leader="none"/>
        </w:tabs>
        <w:spacing w:line="276" w:lineRule="auto" w:before="0" w:after="0"/>
        <w:ind w:left="851" w:right="454" w:hanging="360"/>
        <w:jc w:val="both"/>
        <w:rPr>
          <w:sz w:val="24"/>
        </w:rPr>
      </w:pPr>
      <w:r>
        <w:rPr>
          <w:sz w:val="24"/>
        </w:rPr>
        <w:t>The volatility of monthly returns is least in monthly returns of adjusted next month futures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contracts.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Hence,</w:t>
      </w:r>
      <w:r>
        <w:rPr>
          <w:spacing w:val="-12"/>
          <w:sz w:val="24"/>
        </w:rPr>
        <w:t> </w:t>
      </w:r>
      <w:r>
        <w:rPr>
          <w:sz w:val="24"/>
        </w:rPr>
        <w:t>risk-averse</w:t>
      </w:r>
      <w:r>
        <w:rPr>
          <w:spacing w:val="-15"/>
          <w:sz w:val="24"/>
        </w:rPr>
        <w:t> </w:t>
      </w:r>
      <w:r>
        <w:rPr>
          <w:sz w:val="24"/>
        </w:rPr>
        <w:t>investors</w:t>
      </w:r>
      <w:r>
        <w:rPr>
          <w:spacing w:val="-15"/>
          <w:sz w:val="24"/>
        </w:rPr>
        <w:t> </w:t>
      </w:r>
      <w:r>
        <w:rPr>
          <w:sz w:val="24"/>
        </w:rPr>
        <w:t>can</w:t>
      </w:r>
      <w:r>
        <w:rPr>
          <w:spacing w:val="-15"/>
          <w:sz w:val="24"/>
        </w:rPr>
        <w:t> </w:t>
      </w:r>
      <w:r>
        <w:rPr>
          <w:sz w:val="24"/>
        </w:rPr>
        <w:t>invest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next-month</w:t>
      </w:r>
      <w:r>
        <w:rPr>
          <w:spacing w:val="-14"/>
          <w:sz w:val="24"/>
        </w:rPr>
        <w:t> </w:t>
      </w:r>
      <w:r>
        <w:rPr>
          <w:sz w:val="24"/>
        </w:rPr>
        <w:t>futures</w:t>
      </w:r>
      <w:r>
        <w:rPr>
          <w:spacing w:val="-15"/>
          <w:sz w:val="24"/>
        </w:rPr>
        <w:t> </w:t>
      </w:r>
      <w:r>
        <w:rPr>
          <w:sz w:val="24"/>
        </w:rPr>
        <w:t>contract,</w:t>
      </w:r>
      <w:r>
        <w:rPr>
          <w:spacing w:val="-14"/>
          <w:sz w:val="24"/>
        </w:rPr>
        <w:t> </w:t>
      </w:r>
      <w:r>
        <w:rPr>
          <w:sz w:val="24"/>
        </w:rPr>
        <w:t>earning</w:t>
      </w:r>
      <w:r>
        <w:rPr>
          <w:spacing w:val="-57"/>
          <w:sz w:val="24"/>
        </w:rPr>
        <w:t> </w:t>
      </w:r>
      <w:r>
        <w:rPr>
          <w:sz w:val="24"/>
        </w:rPr>
        <w:t>pretty</w:t>
      </w:r>
      <w:r>
        <w:rPr>
          <w:spacing w:val="-4"/>
          <w:sz w:val="24"/>
        </w:rPr>
        <w:t> </w:t>
      </w:r>
      <w:r>
        <w:rPr>
          <w:sz w:val="24"/>
        </w:rPr>
        <w:t>good</w:t>
      </w:r>
      <w:r>
        <w:rPr>
          <w:spacing w:val="2"/>
          <w:sz w:val="24"/>
        </w:rPr>
        <w:t> </w:t>
      </w:r>
      <w:r>
        <w:rPr>
          <w:sz w:val="24"/>
        </w:rPr>
        <w:t>returns with low risk.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pStyle w:val="Heading3"/>
        <w:numPr>
          <w:ilvl w:val="1"/>
          <w:numId w:val="13"/>
        </w:numPr>
        <w:tabs>
          <w:tab w:pos="554" w:val="left" w:leader="none"/>
        </w:tabs>
        <w:spacing w:line="240" w:lineRule="auto" w:before="0" w:after="0"/>
        <w:ind w:left="553" w:right="0" w:hanging="423"/>
        <w:jc w:val="left"/>
      </w:pPr>
      <w:bookmarkStart w:name="_bookmark23" w:id="41"/>
      <w:bookmarkEnd w:id="41"/>
      <w:r>
        <w:rPr>
          <w:b w:val="0"/>
        </w:rPr>
      </w:r>
      <w:bookmarkStart w:name="_bookmark23" w:id="42"/>
      <w:bookmarkEnd w:id="42"/>
      <w:r>
        <w:rPr/>
        <w:t>L</w:t>
      </w:r>
      <w:r>
        <w:rPr/>
        <w:t>iquidity</w:t>
      </w:r>
      <w:r>
        <w:rPr>
          <w:spacing w:val="-13"/>
        </w:rPr>
        <w:t> </w:t>
      </w:r>
      <w:r>
        <w:rPr/>
        <w:t>Position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5"/>
        <w:gridCol w:w="2057"/>
        <w:gridCol w:w="2009"/>
        <w:gridCol w:w="2132"/>
      </w:tblGrid>
      <w:tr>
        <w:trPr>
          <w:trHeight w:val="498" w:hRule="atLeast"/>
        </w:trPr>
        <w:tc>
          <w:tcPr>
            <w:tcW w:w="3255" w:type="dxa"/>
            <w:shd w:val="clear" w:color="auto" w:fill="FF9900"/>
          </w:tcPr>
          <w:p>
            <w:pPr>
              <w:pStyle w:val="TableParagraph"/>
              <w:spacing w:before="100"/>
              <w:ind w:left="160" w:right="147"/>
              <w:rPr>
                <w:b/>
                <w:sz w:val="26"/>
              </w:rPr>
            </w:pPr>
            <w:r>
              <w:rPr>
                <w:b/>
                <w:sz w:val="26"/>
              </w:rPr>
              <w:t>Month</w:t>
            </w:r>
          </w:p>
        </w:tc>
        <w:tc>
          <w:tcPr>
            <w:tcW w:w="2057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732" w:right="716"/>
              <w:rPr>
                <w:b/>
                <w:sz w:val="26"/>
              </w:rPr>
            </w:pPr>
            <w:r>
              <w:rPr>
                <w:b/>
                <w:sz w:val="26"/>
              </w:rPr>
              <w:t>Near</w:t>
            </w:r>
          </w:p>
        </w:tc>
        <w:tc>
          <w:tcPr>
            <w:tcW w:w="2009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559" w:right="545"/>
              <w:rPr>
                <w:b/>
                <w:sz w:val="26"/>
              </w:rPr>
            </w:pPr>
            <w:r>
              <w:rPr>
                <w:b/>
                <w:sz w:val="26"/>
              </w:rPr>
              <w:t>Next</w:t>
            </w:r>
          </w:p>
        </w:tc>
        <w:tc>
          <w:tcPr>
            <w:tcW w:w="2132" w:type="dxa"/>
            <w:tcBorders>
              <w:bottom w:val="single" w:sz="6" w:space="0" w:color="000000"/>
            </w:tcBorders>
            <w:shd w:val="clear" w:color="auto" w:fill="FF9900"/>
          </w:tcPr>
          <w:p>
            <w:pPr>
              <w:pStyle w:val="TableParagraph"/>
              <w:spacing w:before="100"/>
              <w:ind w:left="563" w:right="549"/>
              <w:rPr>
                <w:b/>
                <w:sz w:val="26"/>
              </w:rPr>
            </w:pPr>
            <w:r>
              <w:rPr>
                <w:b/>
                <w:sz w:val="26"/>
              </w:rPr>
              <w:t>Far</w:t>
            </w:r>
          </w:p>
        </w:tc>
      </w:tr>
      <w:tr>
        <w:trPr>
          <w:trHeight w:val="544" w:hRule="atLeast"/>
        </w:trPr>
        <w:tc>
          <w:tcPr>
            <w:tcW w:w="3255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199" w:right="187"/>
              <w:rPr>
                <w:b/>
                <w:sz w:val="26"/>
              </w:rPr>
            </w:pPr>
            <w:r>
              <w:rPr>
                <w:b/>
                <w:sz w:val="26"/>
              </w:rPr>
              <w:t>Average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No.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Contracts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261" w:right="245"/>
              <w:rPr>
                <w:sz w:val="26"/>
              </w:rPr>
            </w:pPr>
            <w:r>
              <w:rPr>
                <w:sz w:val="26"/>
              </w:rPr>
              <w:t>3616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300" w:right="288"/>
              <w:rPr>
                <w:sz w:val="26"/>
              </w:rPr>
            </w:pPr>
            <w:r>
              <w:rPr>
                <w:sz w:val="26"/>
              </w:rPr>
              <w:t>533</w:t>
            </w:r>
          </w:p>
        </w:tc>
        <w:tc>
          <w:tcPr>
            <w:tcW w:w="2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14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</w:tr>
      <w:tr>
        <w:trPr>
          <w:trHeight w:val="544" w:hRule="atLeast"/>
        </w:trPr>
        <w:tc>
          <w:tcPr>
            <w:tcW w:w="3255" w:type="dxa"/>
            <w:tcBorders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spacing w:before="100"/>
              <w:ind w:left="199" w:right="187"/>
              <w:rPr>
                <w:b/>
                <w:sz w:val="26"/>
              </w:rPr>
            </w:pPr>
            <w:r>
              <w:rPr>
                <w:b/>
                <w:sz w:val="26"/>
              </w:rPr>
              <w:t>Average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Open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Interest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261" w:right="245"/>
              <w:rPr>
                <w:sz w:val="26"/>
              </w:rPr>
            </w:pPr>
            <w:r>
              <w:rPr>
                <w:sz w:val="26"/>
              </w:rPr>
              <w:t>4993225.8060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300" w:right="289"/>
              <w:rPr>
                <w:sz w:val="26"/>
              </w:rPr>
            </w:pPr>
            <w:r>
              <w:rPr>
                <w:sz w:val="26"/>
              </w:rPr>
              <w:t>844708.8353</w:t>
            </w:r>
          </w:p>
        </w:tc>
        <w:tc>
          <w:tcPr>
            <w:tcW w:w="2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>
            <w:pPr>
              <w:pStyle w:val="TableParagraph"/>
              <w:ind w:left="425" w:right="416"/>
              <w:rPr>
                <w:sz w:val="26"/>
              </w:rPr>
            </w:pPr>
            <w:r>
              <w:rPr>
                <w:sz w:val="26"/>
              </w:rPr>
              <w:t>18232.9317</w:t>
            </w:r>
          </w:p>
        </w:tc>
      </w:tr>
    </w:tbl>
    <w:p>
      <w:pPr>
        <w:spacing w:line="247" w:lineRule="exact" w:before="0"/>
        <w:ind w:left="1053" w:right="0" w:firstLine="0"/>
        <w:jc w:val="left"/>
        <w:rPr>
          <w:i/>
          <w:sz w:val="22"/>
        </w:rPr>
      </w:pP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18: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Cholamandalam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Investment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Finance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Company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Futures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liquidity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details</w:t>
      </w:r>
    </w:p>
    <w:p>
      <w:pPr>
        <w:pStyle w:val="BodyText"/>
        <w:spacing w:before="1"/>
        <w:rPr>
          <w:i/>
          <w:sz w:val="33"/>
        </w:rPr>
      </w:pPr>
    </w:p>
    <w:p>
      <w:pPr>
        <w:pStyle w:val="ListParagraph"/>
        <w:numPr>
          <w:ilvl w:val="0"/>
          <w:numId w:val="14"/>
        </w:numPr>
        <w:tabs>
          <w:tab w:pos="911" w:val="left" w:leader="none"/>
          <w:tab w:pos="912" w:val="left" w:leader="none"/>
        </w:tabs>
        <w:spacing w:line="240" w:lineRule="auto" w:before="0" w:after="0"/>
        <w:ind w:left="911" w:right="0" w:hanging="421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equity</w:t>
      </w:r>
      <w:r>
        <w:rPr>
          <w:spacing w:val="-5"/>
          <w:sz w:val="24"/>
        </w:rPr>
        <w:t> </w:t>
      </w:r>
      <w:r>
        <w:rPr>
          <w:sz w:val="24"/>
        </w:rPr>
        <w:t>shares:</w:t>
      </w:r>
    </w:p>
    <w:p>
      <w:pPr>
        <w:pStyle w:val="BodyText"/>
        <w:spacing w:before="41"/>
        <w:ind w:left="851"/>
      </w:pPr>
      <w:r>
        <w:rPr/>
        <w:t>Average</w:t>
      </w:r>
      <w:r>
        <w:rPr>
          <w:spacing w:val="-1"/>
        </w:rPr>
        <w:t> </w:t>
      </w:r>
      <w:r>
        <w:rPr/>
        <w:t>daily</w:t>
      </w:r>
      <w:r>
        <w:rPr>
          <w:spacing w:val="-5"/>
        </w:rPr>
        <w:t> </w:t>
      </w:r>
      <w:r>
        <w:rPr/>
        <w:t>volume</w:t>
      </w:r>
      <w:r>
        <w:rPr>
          <w:spacing w:val="-1"/>
        </w:rPr>
        <w:t> </w:t>
      </w:r>
      <w:r>
        <w:rPr/>
        <w:t>traded: 9064722.45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14"/>
        </w:numPr>
        <w:tabs>
          <w:tab w:pos="852" w:val="left" w:leader="none"/>
        </w:tabs>
        <w:spacing w:line="276" w:lineRule="auto" w:before="0" w:after="0"/>
        <w:ind w:left="851" w:right="456" w:hanging="360"/>
        <w:jc w:val="both"/>
        <w:rPr>
          <w:sz w:val="24"/>
        </w:rPr>
      </w:pPr>
      <w:r>
        <w:rPr>
          <w:sz w:val="24"/>
        </w:rPr>
        <w:t>It is evident from the daily trading data, considering the average number of contracts and</w:t>
      </w:r>
      <w:r>
        <w:rPr>
          <w:spacing w:val="1"/>
          <w:sz w:val="24"/>
        </w:rPr>
        <w:t> </w:t>
      </w:r>
      <w:r>
        <w:rPr>
          <w:sz w:val="24"/>
        </w:rPr>
        <w:t>average open interest in the market, that people prefer near-month contracts over the next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far month</w:t>
      </w:r>
      <w:r>
        <w:rPr>
          <w:spacing w:val="-1"/>
          <w:sz w:val="24"/>
        </w:rPr>
        <w:t> </w:t>
      </w:r>
      <w:r>
        <w:rPr>
          <w:sz w:val="24"/>
        </w:rPr>
        <w:t>futures contracts,</w:t>
      </w:r>
      <w:r>
        <w:rPr>
          <w:spacing w:val="-1"/>
          <w:sz w:val="24"/>
        </w:rPr>
        <w:t> </w:t>
      </w:r>
      <w:r>
        <w:rPr>
          <w:sz w:val="24"/>
        </w:rPr>
        <w:t>as near-month contracts</w:t>
      </w:r>
      <w:r>
        <w:rPr>
          <w:spacing w:val="1"/>
          <w:sz w:val="24"/>
        </w:rPr>
        <w:t> </w:t>
      </w:r>
      <w:r>
        <w:rPr>
          <w:sz w:val="24"/>
        </w:rPr>
        <w:t>give a</w:t>
      </w:r>
      <w:r>
        <w:rPr>
          <w:spacing w:val="-3"/>
          <w:sz w:val="24"/>
        </w:rPr>
        <w:t> </w:t>
      </w:r>
      <w:r>
        <w:rPr>
          <w:sz w:val="24"/>
        </w:rPr>
        <w:t>better liquidity</w:t>
      </w:r>
      <w:r>
        <w:rPr>
          <w:spacing w:val="-5"/>
          <w:sz w:val="24"/>
        </w:rPr>
        <w:t> </w:t>
      </w:r>
      <w:r>
        <w:rPr>
          <w:sz w:val="24"/>
        </w:rPr>
        <w:t>position.</w:t>
      </w:r>
    </w:p>
    <w:p>
      <w:pPr>
        <w:pStyle w:val="ListParagraph"/>
        <w:numPr>
          <w:ilvl w:val="0"/>
          <w:numId w:val="14"/>
        </w:numPr>
        <w:tabs>
          <w:tab w:pos="852" w:val="left" w:leader="none"/>
        </w:tabs>
        <w:spacing w:line="278" w:lineRule="auto" w:before="0" w:after="0"/>
        <w:ind w:left="851" w:right="457" w:hanging="360"/>
        <w:jc w:val="both"/>
        <w:rPr>
          <w:sz w:val="24"/>
        </w:rPr>
      </w:pPr>
      <w:r>
        <w:rPr>
          <w:sz w:val="24"/>
        </w:rPr>
        <w:t>Hence,</w:t>
      </w:r>
      <w:r>
        <w:rPr>
          <w:spacing w:val="-11"/>
          <w:sz w:val="24"/>
        </w:rPr>
        <w:t> </w:t>
      </w:r>
      <w:r>
        <w:rPr>
          <w:sz w:val="24"/>
        </w:rPr>
        <w:t>even</w:t>
      </w:r>
      <w:r>
        <w:rPr>
          <w:spacing w:val="-13"/>
          <w:sz w:val="24"/>
        </w:rPr>
        <w:t> </w:t>
      </w:r>
      <w:r>
        <w:rPr>
          <w:sz w:val="24"/>
        </w:rPr>
        <w:t>though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far</w:t>
      </w:r>
      <w:r>
        <w:rPr>
          <w:spacing w:val="-14"/>
          <w:sz w:val="24"/>
        </w:rPr>
        <w:t> </w:t>
      </w:r>
      <w:r>
        <w:rPr>
          <w:sz w:val="24"/>
        </w:rPr>
        <w:t>month</w:t>
      </w:r>
      <w:r>
        <w:rPr>
          <w:spacing w:val="-13"/>
          <w:sz w:val="24"/>
        </w:rPr>
        <w:t> </w:t>
      </w:r>
      <w:r>
        <w:rPr>
          <w:sz w:val="24"/>
        </w:rPr>
        <w:t>contracts</w:t>
      </w:r>
      <w:r>
        <w:rPr>
          <w:spacing w:val="-12"/>
          <w:sz w:val="24"/>
        </w:rPr>
        <w:t> </w:t>
      </w:r>
      <w:r>
        <w:rPr>
          <w:sz w:val="24"/>
        </w:rPr>
        <w:t>give</w:t>
      </w:r>
      <w:r>
        <w:rPr>
          <w:spacing w:val="-14"/>
          <w:sz w:val="24"/>
        </w:rPr>
        <w:t> </w:t>
      </w:r>
      <w:r>
        <w:rPr>
          <w:sz w:val="24"/>
        </w:rPr>
        <w:t>better</w:t>
      </w:r>
      <w:r>
        <w:rPr>
          <w:spacing w:val="-14"/>
          <w:sz w:val="24"/>
        </w:rPr>
        <w:t> </w:t>
      </w:r>
      <w:r>
        <w:rPr>
          <w:sz w:val="24"/>
        </w:rPr>
        <w:t>returns</w:t>
      </w:r>
      <w:r>
        <w:rPr>
          <w:spacing w:val="-13"/>
          <w:sz w:val="24"/>
        </w:rPr>
        <w:t> </w:t>
      </w:r>
      <w:r>
        <w:rPr>
          <w:sz w:val="24"/>
        </w:rPr>
        <w:t>than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near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next</w:t>
      </w:r>
      <w:r>
        <w:rPr>
          <w:spacing w:val="-13"/>
          <w:sz w:val="24"/>
        </w:rPr>
        <w:t> </w:t>
      </w:r>
      <w:r>
        <w:rPr>
          <w:sz w:val="24"/>
        </w:rPr>
        <w:t>month,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open interest is heavy</w:t>
      </w:r>
      <w:r>
        <w:rPr>
          <w:spacing w:val="-3"/>
          <w:sz w:val="24"/>
        </w:rPr>
        <w:t> </w:t>
      </w:r>
      <w:r>
        <w:rPr>
          <w:sz w:val="24"/>
        </w:rPr>
        <w:t>towards near-</w:t>
      </w:r>
      <w:r>
        <w:rPr>
          <w:spacing w:val="-1"/>
          <w:sz w:val="24"/>
        </w:rPr>
        <w:t> </w:t>
      </w:r>
      <w:r>
        <w:rPr>
          <w:sz w:val="24"/>
        </w:rPr>
        <w:t>month contracts.</w:t>
      </w:r>
    </w:p>
    <w:p>
      <w:pPr>
        <w:spacing w:after="0" w:line="278" w:lineRule="auto"/>
        <w:jc w:val="both"/>
        <w:rPr>
          <w:sz w:val="24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2"/>
        <w:ind w:left="311" w:right="636"/>
        <w:jc w:val="center"/>
      </w:pPr>
      <w:bookmarkStart w:name="_bookmark24" w:id="43"/>
      <w:bookmarkEnd w:id="43"/>
      <w:r>
        <w:rPr>
          <w:b w:val="0"/>
        </w:rPr>
      </w:r>
      <w:r>
        <w:rPr>
          <w:u w:val="thick"/>
        </w:rPr>
        <w:t>SECTION</w:t>
      </w:r>
      <w:r>
        <w:rPr>
          <w:spacing w:val="-3"/>
          <w:u w:val="thick"/>
        </w:rPr>
        <w:t> </w:t>
      </w:r>
      <w:r>
        <w:rPr>
          <w:u w:val="thick"/>
        </w:rPr>
        <w:t>-</w:t>
      </w:r>
      <w:r>
        <w:rPr>
          <w:spacing w:val="-2"/>
          <w:u w:val="thick"/>
        </w:rPr>
        <w:t> </w:t>
      </w:r>
      <w:r>
        <w:rPr>
          <w:u w:val="thick"/>
        </w:rPr>
        <w:t>4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Heading3"/>
        <w:numPr>
          <w:ilvl w:val="1"/>
          <w:numId w:val="15"/>
        </w:numPr>
        <w:tabs>
          <w:tab w:pos="554" w:val="left" w:leader="none"/>
        </w:tabs>
        <w:spacing w:line="240" w:lineRule="auto" w:before="89" w:after="0"/>
        <w:ind w:left="553" w:right="0" w:hanging="423"/>
        <w:jc w:val="left"/>
      </w:pPr>
      <w:bookmarkStart w:name="_bookmark25" w:id="44"/>
      <w:bookmarkEnd w:id="44"/>
      <w:r>
        <w:rPr>
          <w:b w:val="0"/>
        </w:rPr>
      </w:r>
      <w:bookmarkStart w:name="_bookmark25" w:id="45"/>
      <w:bookmarkEnd w:id="45"/>
      <w:r>
        <w:rPr/>
        <w:t>C</w:t>
      </w:r>
      <w:r>
        <w:rPr/>
        <w:t>ontango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Backwardation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78" w:lineRule="auto" w:before="216"/>
        <w:ind w:left="131" w:right="463"/>
        <w:jc w:val="both"/>
      </w:pPr>
      <w:r>
        <w:rPr/>
        <w:t>Contango and Backwardation are terms used to describe the situation of the futures market based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 difference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 spot price</w:t>
      </w:r>
      <w:r>
        <w:rPr>
          <w:spacing w:val="-2"/>
        </w:rPr>
        <w:t> </w:t>
      </w:r>
      <w:r>
        <w:rPr/>
        <w:t>and the</w:t>
      </w:r>
      <w:r>
        <w:rPr>
          <w:spacing w:val="1"/>
        </w:rPr>
        <w:t> </w:t>
      </w:r>
      <w:r>
        <w:rPr/>
        <w:t>futures</w:t>
      </w:r>
      <w:r>
        <w:rPr>
          <w:spacing w:val="-1"/>
        </w:rPr>
        <w:t> </w:t>
      </w:r>
      <w:r>
        <w:rPr/>
        <w:t>price</w:t>
      </w:r>
      <w:r>
        <w:rPr>
          <w:spacing w:val="-1"/>
        </w:rPr>
        <w:t> </w:t>
      </w:r>
      <w:r>
        <w:rPr/>
        <w:t>of a</w:t>
      </w:r>
      <w:r>
        <w:rPr>
          <w:spacing w:val="-3"/>
        </w:rPr>
        <w:t> </w:t>
      </w:r>
      <w:r>
        <w:rPr/>
        <w:t>commodity/ underlying</w:t>
      </w:r>
      <w:r>
        <w:rPr>
          <w:spacing w:val="-3"/>
        </w:rPr>
        <w:t> </w:t>
      </w:r>
      <w:r>
        <w:rPr/>
        <w:t>asset.</w:t>
      </w:r>
    </w:p>
    <w:p>
      <w:pPr>
        <w:pStyle w:val="BodyText"/>
        <w:spacing w:before="2"/>
        <w:rPr>
          <w:sz w:val="27"/>
        </w:rPr>
      </w:pPr>
    </w:p>
    <w:p>
      <w:pPr>
        <w:spacing w:line="276" w:lineRule="auto" w:before="0"/>
        <w:ind w:left="131" w:right="460" w:firstLine="0"/>
        <w:jc w:val="both"/>
        <w:rPr>
          <w:sz w:val="24"/>
        </w:rPr>
      </w:pPr>
      <w:r>
        <w:rPr>
          <w:b/>
          <w:i/>
          <w:sz w:val="24"/>
        </w:rPr>
        <w:t>Contango</w:t>
      </w:r>
      <w:r>
        <w:rPr>
          <w:b/>
          <w:i/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situation</w:t>
      </w:r>
      <w:r>
        <w:rPr>
          <w:spacing w:val="-9"/>
          <w:sz w:val="24"/>
        </w:rPr>
        <w:t> </w:t>
      </w:r>
      <w:r>
        <w:rPr>
          <w:sz w:val="24"/>
        </w:rPr>
        <w:t>where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futures</w:t>
      </w:r>
      <w:r>
        <w:rPr>
          <w:spacing w:val="-6"/>
          <w:sz w:val="24"/>
        </w:rPr>
        <w:t> </w:t>
      </w:r>
      <w:r>
        <w:rPr>
          <w:sz w:val="24"/>
        </w:rPr>
        <w:t>price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commodity/</w:t>
      </w:r>
      <w:r>
        <w:rPr>
          <w:spacing w:val="-8"/>
          <w:sz w:val="24"/>
        </w:rPr>
        <w:t> </w:t>
      </w:r>
      <w:r>
        <w:rPr>
          <w:sz w:val="24"/>
        </w:rPr>
        <w:t>underlying</w:t>
      </w:r>
      <w:r>
        <w:rPr>
          <w:spacing w:val="-8"/>
          <w:sz w:val="24"/>
        </w:rPr>
        <w:t> </w:t>
      </w:r>
      <w:r>
        <w:rPr>
          <w:sz w:val="24"/>
        </w:rPr>
        <w:t>asset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greater</w:t>
      </w:r>
      <w:r>
        <w:rPr>
          <w:spacing w:val="-10"/>
          <w:sz w:val="24"/>
        </w:rPr>
        <w:t> </w:t>
      </w:r>
      <w:r>
        <w:rPr>
          <w:sz w:val="24"/>
        </w:rPr>
        <w:t>than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spot</w:t>
      </w:r>
      <w:r>
        <w:rPr>
          <w:spacing w:val="-1"/>
          <w:sz w:val="24"/>
        </w:rPr>
        <w:t> </w:t>
      </w:r>
      <w:r>
        <w:rPr>
          <w:sz w:val="24"/>
        </w:rPr>
        <w:t>price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commodity, i.e.</w:t>
      </w:r>
      <w:r>
        <w:rPr>
          <w:spacing w:val="3"/>
          <w:sz w:val="24"/>
        </w:rPr>
        <w:t> </w:t>
      </w:r>
      <w:r>
        <w:rPr>
          <w:b/>
          <w:sz w:val="24"/>
        </w:rPr>
        <w:t>Futures price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&gt;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Spot price</w:t>
      </w:r>
      <w:r>
        <w:rPr>
          <w:sz w:val="24"/>
        </w:rPr>
        <w:t>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131" w:right="459"/>
        <w:jc w:val="both"/>
      </w:pP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market/</w:t>
      </w:r>
      <w:r>
        <w:rPr>
          <w:spacing w:val="1"/>
        </w:rPr>
        <w:t> </w:t>
      </w:r>
      <w:r>
        <w:rPr/>
        <w:t>commodity</w:t>
      </w:r>
      <w:r>
        <w:rPr>
          <w:spacing w:val="1"/>
        </w:rPr>
        <w:t> </w:t>
      </w:r>
      <w:r>
        <w:rPr/>
        <w:t>exhibits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contango</w:t>
      </w:r>
      <w:r>
        <w:rPr>
          <w:spacing w:val="1"/>
        </w:rPr>
        <w:t> </w:t>
      </w:r>
      <w:r>
        <w:rPr/>
        <w:t>behaviour,</w:t>
      </w:r>
      <w:r>
        <w:rPr>
          <w:spacing w:val="1"/>
        </w:rPr>
        <w:t> </w:t>
      </w:r>
      <w:r>
        <w:rPr/>
        <w:t>investors</w:t>
      </w:r>
      <w:r>
        <w:rPr>
          <w:spacing w:val="1"/>
        </w:rPr>
        <w:t> </w:t>
      </w:r>
      <w:r>
        <w:rPr/>
        <w:t>pay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stock/commodity</w:t>
      </w:r>
      <w:r>
        <w:rPr>
          <w:spacing w:val="-8"/>
        </w:rPr>
        <w:t> </w:t>
      </w:r>
      <w:r>
        <w:rPr/>
        <w:t>in the</w:t>
      </w:r>
      <w:r>
        <w:rPr>
          <w:spacing w:val="-1"/>
        </w:rPr>
        <w:t> </w:t>
      </w:r>
      <w:r>
        <w:rPr/>
        <w:t>future. Futures prices being</w:t>
      </w:r>
      <w:r>
        <w:rPr>
          <w:spacing w:val="-4"/>
        </w:rPr>
        <w:t> </w:t>
      </w:r>
      <w:r>
        <w:rPr/>
        <w:t>higher than the spot prices may</w:t>
      </w:r>
      <w:r>
        <w:rPr>
          <w:spacing w:val="-8"/>
        </w:rPr>
        <w:t> </w:t>
      </w:r>
      <w:r>
        <w:rPr/>
        <w:t>be</w:t>
      </w:r>
      <w:r>
        <w:rPr>
          <w:spacing w:val="-2"/>
        </w:rPr>
        <w:t> </w:t>
      </w:r>
      <w:r>
        <w:rPr/>
        <w:t>speculative</w:t>
      </w:r>
      <w:r>
        <w:rPr>
          <w:spacing w:val="-57"/>
        </w:rPr>
        <w:t> </w:t>
      </w:r>
      <w:r>
        <w:rPr/>
        <w:t>of prices being higher in the future; thus, a speculator may lock in a profit by buying more future</w:t>
      </w:r>
      <w:r>
        <w:rPr>
          <w:spacing w:val="1"/>
        </w:rPr>
        <w:t> </w:t>
      </w:r>
      <w:r>
        <w:rPr/>
        <w:t>contracts.</w:t>
      </w:r>
    </w:p>
    <w:p>
      <w:pPr>
        <w:pStyle w:val="BodyText"/>
        <w:spacing w:before="6"/>
        <w:rPr>
          <w:sz w:val="27"/>
        </w:rPr>
      </w:pPr>
    </w:p>
    <w:p>
      <w:pPr>
        <w:spacing w:line="276" w:lineRule="auto" w:before="1"/>
        <w:ind w:left="131" w:right="456" w:firstLine="0"/>
        <w:jc w:val="both"/>
        <w:rPr>
          <w:sz w:val="24"/>
        </w:rPr>
      </w:pPr>
      <w:r>
        <w:rPr>
          <w:b/>
          <w:i/>
          <w:sz w:val="24"/>
        </w:rPr>
        <w:t>Backwardation </w:t>
      </w:r>
      <w:r>
        <w:rPr>
          <w:sz w:val="24"/>
        </w:rPr>
        <w:t>is a situation where the futures price of a commodity/ underlying asset is less than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spot price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commodity, i.e.</w:t>
      </w:r>
      <w:r>
        <w:rPr>
          <w:spacing w:val="4"/>
          <w:sz w:val="24"/>
        </w:rPr>
        <w:t> </w:t>
      </w:r>
      <w:r>
        <w:rPr>
          <w:b/>
          <w:sz w:val="24"/>
        </w:rPr>
        <w:t>Futures price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&lt;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Spot price</w:t>
      </w:r>
      <w:r>
        <w:rPr>
          <w:sz w:val="24"/>
        </w:rPr>
        <w:t>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31" w:right="457" w:firstLine="60"/>
        <w:jc w:val="both"/>
      </w:pPr>
      <w:r>
        <w:rPr/>
        <w:t>Backwardation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occur</w:t>
      </w:r>
      <w:r>
        <w:rPr>
          <w:spacing w:val="-9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higher</w:t>
      </w:r>
      <w:r>
        <w:rPr>
          <w:spacing w:val="-9"/>
        </w:rPr>
        <w:t> </w:t>
      </w:r>
      <w:r>
        <w:rPr/>
        <w:t>demand</w:t>
      </w:r>
      <w:r>
        <w:rPr>
          <w:spacing w:val="-6"/>
        </w:rPr>
        <w:t> </w:t>
      </w:r>
      <w:r>
        <w:rPr/>
        <w:t>for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asset</w:t>
      </w:r>
      <w:r>
        <w:rPr>
          <w:spacing w:val="-9"/>
        </w:rPr>
        <w:t> </w:t>
      </w:r>
      <w:r>
        <w:rPr/>
        <w:t>currently</w:t>
      </w:r>
      <w:r>
        <w:rPr>
          <w:spacing w:val="-13"/>
        </w:rPr>
        <w:t> </w:t>
      </w:r>
      <w:r>
        <w:rPr/>
        <w:t>than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contracts</w:t>
      </w:r>
      <w:r>
        <w:rPr>
          <w:spacing w:val="-7"/>
        </w:rPr>
        <w:t> </w:t>
      </w:r>
      <w:r>
        <w:rPr/>
        <w:t>maturing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future</w:t>
      </w:r>
      <w:r>
        <w:rPr>
          <w:spacing w:val="-1"/>
        </w:rPr>
        <w:t> </w:t>
      </w:r>
      <w:r>
        <w:rPr/>
        <w:t>through the</w:t>
      </w:r>
      <w:r>
        <w:rPr>
          <w:spacing w:val="1"/>
        </w:rPr>
        <w:t> </w:t>
      </w:r>
      <w:r>
        <w:rPr/>
        <w:t>futures market.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8" w:lineRule="auto"/>
        <w:ind w:left="131" w:right="455"/>
        <w:jc w:val="both"/>
      </w:pPr>
      <w:r>
        <w:rPr/>
        <w:t>It</w:t>
      </w:r>
      <w:r>
        <w:rPr>
          <w:spacing w:val="-3"/>
        </w:rPr>
        <w:t> </w:t>
      </w:r>
      <w:r>
        <w:rPr/>
        <w:t>is a</w:t>
      </w:r>
      <w:r>
        <w:rPr>
          <w:spacing w:val="-3"/>
        </w:rPr>
        <w:t> </w:t>
      </w:r>
      <w:r>
        <w:rPr/>
        <w:t>signal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investors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-2"/>
        </w:rPr>
        <w:t> </w:t>
      </w:r>
      <w:r>
        <w:rPr/>
        <w:t>price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too</w:t>
      </w:r>
      <w:r>
        <w:rPr>
          <w:spacing w:val="-2"/>
        </w:rPr>
        <w:t> </w:t>
      </w:r>
      <w:r>
        <w:rPr/>
        <w:t>high,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8"/>
        </w:rPr>
        <w:t> </w:t>
      </w:r>
      <w:r>
        <w:rPr/>
        <w:t>can short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asset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buy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futures contract to realise</w:t>
      </w:r>
      <w:r>
        <w:rPr>
          <w:spacing w:val="-1"/>
        </w:rPr>
        <w:t> </w:t>
      </w:r>
      <w:r>
        <w:rPr/>
        <w:t>the profit.</w:t>
      </w:r>
    </w:p>
    <w:p>
      <w:pPr>
        <w:pStyle w:val="BodyText"/>
        <w:spacing w:before="2"/>
        <w:rPr>
          <w:sz w:val="27"/>
        </w:rPr>
      </w:pPr>
    </w:p>
    <w:p>
      <w:pPr>
        <w:spacing w:before="0"/>
        <w:ind w:left="131" w:right="0" w:firstLine="0"/>
        <w:jc w:val="both"/>
        <w:rPr>
          <w:i/>
          <w:sz w:val="20"/>
        </w:rPr>
      </w:pPr>
      <w:r>
        <w:rPr>
          <w:sz w:val="24"/>
        </w:rPr>
        <w:t>*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below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graphs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have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been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calculated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on a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weekly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frequency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all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contracts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 clearer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picture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reader.</w:t>
      </w:r>
    </w:p>
    <w:p>
      <w:pPr>
        <w:spacing w:after="0"/>
        <w:jc w:val="both"/>
        <w:rPr>
          <w:sz w:val="20"/>
        </w:rPr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9"/>
        </w:rPr>
      </w:pPr>
    </w:p>
    <w:p>
      <w:pPr>
        <w:pStyle w:val="Heading3"/>
        <w:numPr>
          <w:ilvl w:val="2"/>
          <w:numId w:val="15"/>
        </w:numPr>
        <w:tabs>
          <w:tab w:pos="1440" w:val="left" w:leader="none"/>
        </w:tabs>
        <w:spacing w:line="240" w:lineRule="auto" w:before="89" w:after="0"/>
        <w:ind w:left="1439" w:right="0" w:hanging="589"/>
        <w:jc w:val="left"/>
      </w:pPr>
      <w:r>
        <w:rPr/>
        <w:pict>
          <v:group style="position:absolute;margin-left:70.320pt;margin-top:22.90033pt;width:466.8pt;height:240.25pt;mso-position-horizontal-relative:page;mso-position-vertical-relative:paragraph;z-index:-15706112;mso-wrap-distance-left:0;mso-wrap-distance-right:0" coordorigin="1406,458" coordsize="9336,4805">
            <v:shape style="position:absolute;left:1447;top:498;width:9255;height:4724" type="#_x0000_t75" stroked="false">
              <v:imagedata r:id="rId50" o:title=""/>
            </v:shape>
            <v:rect style="position:absolute;left:1426;top:478;width:9296;height:4764" filled="false" stroked="true" strokeweight="2.04pt" strokecolor="#000000">
              <v:stroke dashstyle="solid"/>
            </v:rect>
            <w10:wrap type="topAndBottom"/>
          </v:group>
        </w:pict>
      </w:r>
      <w:r>
        <w:rPr/>
        <w:t>Near</w:t>
      </w:r>
      <w:r>
        <w:rPr>
          <w:spacing w:val="-2"/>
        </w:rPr>
        <w:t> </w:t>
      </w:r>
      <w:r>
        <w:rPr/>
        <w:t>Month</w:t>
      </w:r>
      <w:r>
        <w:rPr>
          <w:spacing w:val="-1"/>
        </w:rPr>
        <w:t> </w:t>
      </w:r>
      <w:r>
        <w:rPr/>
        <w:t>Futures</w:t>
      </w:r>
      <w:r>
        <w:rPr>
          <w:spacing w:val="-2"/>
        </w:rPr>
        <w:t> </w:t>
      </w:r>
      <w:r>
        <w:rPr/>
        <w:t>-vs-</w:t>
      </w:r>
      <w:r>
        <w:rPr>
          <w:spacing w:val="-2"/>
        </w:rPr>
        <w:t> </w:t>
      </w:r>
      <w:r>
        <w:rPr/>
        <w:t>Underlying Equity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276" w:lineRule="auto" w:before="1"/>
        <w:ind w:left="131" w:right="453"/>
        <w:jc w:val="both"/>
      </w:pPr>
      <w:r>
        <w:rPr/>
        <w:t>The above graph shows that the excess of the settlement price of near- month futures over the spot</w:t>
      </w:r>
      <w:r>
        <w:rPr>
          <w:spacing w:val="-57"/>
        </w:rPr>
        <w:t> </w:t>
      </w:r>
      <w:r>
        <w:rPr/>
        <w:t>price of CHOLAFIN trends more below the zero line, as compared to above the zero line, thus</w:t>
      </w:r>
      <w:r>
        <w:rPr>
          <w:spacing w:val="1"/>
        </w:rPr>
        <w:t> </w:t>
      </w:r>
      <w:r>
        <w:rPr/>
        <w:t>indicating</w:t>
      </w:r>
      <w:r>
        <w:rPr>
          <w:spacing w:val="-4"/>
        </w:rPr>
        <w:t> </w:t>
      </w:r>
      <w:r>
        <w:rPr/>
        <w:t>the near month contracts exhibit a</w:t>
      </w:r>
      <w:r>
        <w:rPr>
          <w:spacing w:val="1"/>
        </w:rPr>
        <w:t> </w:t>
      </w:r>
      <w:r>
        <w:rPr>
          <w:b/>
          <w:i/>
        </w:rPr>
        <w:t>backwardation</w:t>
      </w:r>
      <w:r>
        <w:rPr>
          <w:b/>
          <w:i/>
          <w:spacing w:val="2"/>
        </w:rPr>
        <w:t> </w:t>
      </w:r>
      <w:r>
        <w:rPr/>
        <w:t>trend.</w:t>
      </w:r>
    </w:p>
    <w:p>
      <w:pPr>
        <w:pStyle w:val="BodyText"/>
        <w:spacing w:before="10"/>
        <w:rPr>
          <w:sz w:val="27"/>
        </w:rPr>
      </w:pPr>
    </w:p>
    <w:p>
      <w:pPr>
        <w:pStyle w:val="Heading3"/>
        <w:numPr>
          <w:ilvl w:val="2"/>
          <w:numId w:val="15"/>
        </w:numPr>
        <w:tabs>
          <w:tab w:pos="1440" w:val="left" w:leader="none"/>
        </w:tabs>
        <w:spacing w:line="240" w:lineRule="auto" w:before="1" w:after="0"/>
        <w:ind w:left="1439" w:right="0" w:hanging="589"/>
        <w:jc w:val="left"/>
      </w:pPr>
      <w:r>
        <w:rPr/>
        <w:pict>
          <v:group style="position:absolute;margin-left:72pt;margin-top:18.137213pt;width:463.45pt;height:253.8pt;mso-position-horizontal-relative:page;mso-position-vertical-relative:paragraph;z-index:-15705600;mso-wrap-distance-left:0;mso-wrap-distance-right:0" coordorigin="1440,363" coordsize="9269,5076">
            <v:shape style="position:absolute;left:1480;top:403;width:9188;height:4995" type="#_x0000_t75" stroked="false">
              <v:imagedata r:id="rId51" o:title=""/>
            </v:shape>
            <v:rect style="position:absolute;left:1460;top:383;width:9228;height:5036" filled="false" stroked="true" strokeweight="2.04pt" strokecolor="#000000">
              <v:stroke dashstyle="solid"/>
            </v:rect>
            <w10:wrap type="topAndBottom"/>
          </v:group>
        </w:pict>
      </w:r>
      <w:r>
        <w:rPr/>
        <w:t>Next</w:t>
      </w:r>
      <w:r>
        <w:rPr>
          <w:spacing w:val="-2"/>
        </w:rPr>
        <w:t> </w:t>
      </w:r>
      <w:r>
        <w:rPr/>
        <w:t>Month</w:t>
      </w:r>
      <w:r>
        <w:rPr>
          <w:spacing w:val="-1"/>
        </w:rPr>
        <w:t> </w:t>
      </w:r>
      <w:r>
        <w:rPr/>
        <w:t>Futures</w:t>
      </w:r>
      <w:r>
        <w:rPr>
          <w:spacing w:val="1"/>
        </w:rPr>
        <w:t> </w:t>
      </w:r>
      <w:r>
        <w:rPr/>
        <w:t>-vs-</w:t>
      </w:r>
      <w:r>
        <w:rPr>
          <w:spacing w:val="-2"/>
        </w:rPr>
        <w:t> </w:t>
      </w:r>
      <w:r>
        <w:rPr/>
        <w:t>Underlying Equity</w:t>
      </w:r>
    </w:p>
    <w:p>
      <w:pPr>
        <w:spacing w:after="0" w:line="240" w:lineRule="auto"/>
        <w:jc w:val="left"/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line="276" w:lineRule="auto" w:before="90"/>
        <w:ind w:left="131" w:right="452"/>
        <w:jc w:val="both"/>
      </w:pPr>
      <w:r>
        <w:rPr/>
        <w:t>The</w:t>
      </w:r>
      <w:r>
        <w:rPr>
          <w:spacing w:val="-15"/>
        </w:rPr>
        <w:t> </w:t>
      </w:r>
      <w:r>
        <w:rPr/>
        <w:t>above</w:t>
      </w:r>
      <w:r>
        <w:rPr>
          <w:spacing w:val="-10"/>
        </w:rPr>
        <w:t> </w:t>
      </w:r>
      <w:r>
        <w:rPr/>
        <w:t>graph</w:t>
      </w:r>
      <w:r>
        <w:rPr>
          <w:spacing w:val="-12"/>
        </w:rPr>
        <w:t> </w:t>
      </w:r>
      <w:r>
        <w:rPr/>
        <w:t>shows</w:t>
      </w:r>
      <w:r>
        <w:rPr>
          <w:spacing w:val="-14"/>
        </w:rPr>
        <w:t> </w:t>
      </w:r>
      <w:r>
        <w:rPr/>
        <w:t>a</w:t>
      </w:r>
      <w:r>
        <w:rPr>
          <w:spacing w:val="-12"/>
        </w:rPr>
        <w:t> </w:t>
      </w:r>
      <w:r>
        <w:rPr/>
        <w:t>similar</w:t>
      </w:r>
      <w:r>
        <w:rPr>
          <w:spacing w:val="-13"/>
        </w:rPr>
        <w:t> </w:t>
      </w:r>
      <w:r>
        <w:rPr/>
        <w:t>trend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graph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near-month</w:t>
      </w:r>
      <w:r>
        <w:rPr>
          <w:spacing w:val="-13"/>
        </w:rPr>
        <w:t> </w:t>
      </w:r>
      <w:r>
        <w:rPr/>
        <w:t>futures</w:t>
      </w:r>
      <w:r>
        <w:rPr>
          <w:spacing w:val="-11"/>
        </w:rPr>
        <w:t> </w:t>
      </w:r>
      <w:r>
        <w:rPr/>
        <w:t>contracts.</w:t>
      </w:r>
      <w:r>
        <w:rPr>
          <w:spacing w:val="-12"/>
        </w:rPr>
        <w:t> </w:t>
      </w:r>
      <w:r>
        <w:rPr/>
        <w:t>Thus,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Next-</w:t>
      </w:r>
      <w:r>
        <w:rPr>
          <w:spacing w:val="-57"/>
        </w:rPr>
        <w:t> </w:t>
      </w:r>
      <w:r>
        <w:rPr/>
        <w:t>month</w:t>
      </w:r>
      <w:r>
        <w:rPr>
          <w:spacing w:val="-1"/>
        </w:rPr>
        <w:t> </w:t>
      </w:r>
      <w:r>
        <w:rPr/>
        <w:t>futures contracts also exhibit a</w:t>
      </w:r>
      <w:r>
        <w:rPr>
          <w:spacing w:val="1"/>
        </w:rPr>
        <w:t> </w:t>
      </w:r>
      <w:r>
        <w:rPr>
          <w:b/>
          <w:i/>
        </w:rPr>
        <w:t>backwardation</w:t>
      </w:r>
      <w:r>
        <w:rPr>
          <w:b/>
          <w:i/>
          <w:spacing w:val="1"/>
        </w:rPr>
        <w:t> </w:t>
      </w:r>
      <w:r>
        <w:rPr/>
        <w:t>trend.</w:t>
      </w:r>
    </w:p>
    <w:p>
      <w:pPr>
        <w:pStyle w:val="BodyText"/>
        <w:spacing w:before="3"/>
        <w:rPr>
          <w:sz w:val="30"/>
        </w:rPr>
      </w:pPr>
    </w:p>
    <w:p>
      <w:pPr>
        <w:pStyle w:val="Heading3"/>
        <w:numPr>
          <w:ilvl w:val="2"/>
          <w:numId w:val="15"/>
        </w:numPr>
        <w:tabs>
          <w:tab w:pos="1440" w:val="left" w:leader="none"/>
        </w:tabs>
        <w:spacing w:line="240" w:lineRule="auto" w:before="0" w:after="0"/>
        <w:ind w:left="1439" w:right="0" w:hanging="589"/>
        <w:jc w:val="left"/>
      </w:pPr>
      <w:r>
        <w:rPr/>
        <w:pict>
          <v:group style="position:absolute;margin-left:67.680pt;margin-top:18.570284pt;width:472.1pt;height:250.7pt;mso-position-horizontal-relative:page;mso-position-vertical-relative:paragraph;z-index:-15705088;mso-wrap-distance-left:0;mso-wrap-distance-right:0" coordorigin="1354,371" coordsize="9442,5014">
            <v:shape style="position:absolute;left:1394;top:412;width:9360;height:4932" type="#_x0000_t75" stroked="false">
              <v:imagedata r:id="rId52" o:title=""/>
            </v:shape>
            <v:rect style="position:absolute;left:1374;top:391;width:9401;height:4973" filled="false" stroked="true" strokeweight="2.04pt" strokecolor="#000000">
              <v:stroke dashstyle="solid"/>
            </v:rect>
            <w10:wrap type="topAndBottom"/>
          </v:group>
        </w:pict>
      </w:r>
      <w:r>
        <w:rPr/>
        <w:t>Far</w:t>
      </w:r>
      <w:r>
        <w:rPr>
          <w:spacing w:val="-2"/>
        </w:rPr>
        <w:t> </w:t>
      </w:r>
      <w:r>
        <w:rPr/>
        <w:t>Month</w:t>
      </w:r>
      <w:r>
        <w:rPr>
          <w:spacing w:val="-1"/>
        </w:rPr>
        <w:t> </w:t>
      </w:r>
      <w:r>
        <w:rPr/>
        <w:t>Futures</w:t>
      </w:r>
      <w:r>
        <w:rPr>
          <w:spacing w:val="1"/>
        </w:rPr>
        <w:t> </w:t>
      </w:r>
      <w:r>
        <w:rPr/>
        <w:t>-vs-</w:t>
      </w:r>
      <w:r>
        <w:rPr>
          <w:spacing w:val="-2"/>
        </w:rPr>
        <w:t> </w:t>
      </w:r>
      <w:r>
        <w:rPr/>
        <w:t>Underlying</w:t>
      </w:r>
      <w:r>
        <w:rPr>
          <w:spacing w:val="-3"/>
        </w:rPr>
        <w:t> </w:t>
      </w:r>
      <w:r>
        <w:rPr/>
        <w:t>Equity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276" w:lineRule="auto"/>
        <w:ind w:left="131" w:right="460"/>
        <w:jc w:val="both"/>
      </w:pPr>
      <w:r>
        <w:rPr/>
        <w:t>In comparison with the above two graphs, the above graph shows that the excess of the settlement</w:t>
      </w:r>
      <w:r>
        <w:rPr>
          <w:spacing w:val="-57"/>
        </w:rPr>
        <w:t> </w:t>
      </w:r>
      <w:r>
        <w:rPr/>
        <w:t>price of far- month futures over the spot price of CHOLAFIN trends more above the zero line, as</w:t>
      </w:r>
      <w:r>
        <w:rPr>
          <w:spacing w:val="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 below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zero</w:t>
      </w:r>
      <w:r>
        <w:rPr>
          <w:spacing w:val="-1"/>
        </w:rPr>
        <w:t> </w:t>
      </w:r>
      <w:r>
        <w:rPr/>
        <w:t>line,</w:t>
      </w:r>
      <w:r>
        <w:rPr>
          <w:spacing w:val="-1"/>
        </w:rPr>
        <w:t> </w:t>
      </w:r>
      <w:r>
        <w:rPr/>
        <w:t>thus indicating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far month</w:t>
      </w:r>
      <w:r>
        <w:rPr>
          <w:spacing w:val="-1"/>
        </w:rPr>
        <w:t> </w:t>
      </w:r>
      <w:r>
        <w:rPr/>
        <w:t>contracts exhibit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>
          <w:b/>
          <w:i/>
        </w:rPr>
        <w:t>contango </w:t>
      </w:r>
      <w:r>
        <w:rPr/>
        <w:t>trend.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4"/>
        </w:rPr>
      </w:pPr>
    </w:p>
    <w:p>
      <w:pPr>
        <w:pStyle w:val="Heading3"/>
        <w:numPr>
          <w:ilvl w:val="1"/>
          <w:numId w:val="15"/>
        </w:numPr>
        <w:tabs>
          <w:tab w:pos="555" w:val="left" w:leader="none"/>
        </w:tabs>
        <w:spacing w:line="240" w:lineRule="auto" w:before="0" w:after="0"/>
        <w:ind w:left="554" w:right="0" w:hanging="424"/>
        <w:jc w:val="left"/>
      </w:pPr>
      <w:bookmarkStart w:name="_bookmark26" w:id="46"/>
      <w:bookmarkEnd w:id="46"/>
      <w:r>
        <w:rPr>
          <w:b w:val="0"/>
        </w:rPr>
      </w:r>
      <w:bookmarkStart w:name="_bookmark26" w:id="47"/>
      <w:bookmarkEnd w:id="47"/>
      <w:r>
        <w:rPr/>
        <w:t>S</w:t>
      </w:r>
      <w:r>
        <w:rPr/>
        <w:t>ignificance</w:t>
      </w:r>
      <w:r>
        <w:rPr>
          <w:spacing w:val="-8"/>
        </w:rPr>
        <w:t> </w:t>
      </w:r>
      <w:r>
        <w:rPr/>
        <w:t>of</w:t>
      </w:r>
      <w:r>
        <w:rPr>
          <w:spacing w:val="-4"/>
        </w:rPr>
        <w:t> </w:t>
      </w:r>
      <w:r>
        <w:rPr/>
        <w:t>Frequency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76" w:lineRule="auto" w:before="215"/>
        <w:ind w:left="131" w:right="458"/>
        <w:jc w:val="both"/>
      </w:pPr>
      <w:r>
        <w:rPr/>
        <w:t>Economic theories like the Random Walk Theory assume that </w:t>
      </w:r>
      <w:r>
        <w:rPr>
          <w:color w:val="111111"/>
        </w:rPr>
        <w:t>past movements of a stock price or</w:t>
      </w:r>
      <w:r>
        <w:rPr>
          <w:color w:val="111111"/>
          <w:spacing w:val="1"/>
        </w:rPr>
        <w:t> </w:t>
      </w:r>
      <w:r>
        <w:rPr>
          <w:color w:val="111111"/>
        </w:rPr>
        <w:t>market</w:t>
      </w:r>
      <w:r>
        <w:rPr>
          <w:color w:val="111111"/>
          <w:spacing w:val="-1"/>
        </w:rPr>
        <w:t> </w:t>
      </w:r>
      <w:r>
        <w:rPr>
          <w:color w:val="111111"/>
        </w:rPr>
        <w:t>cannot be</w:t>
      </w:r>
      <w:r>
        <w:rPr>
          <w:color w:val="111111"/>
          <w:spacing w:val="-1"/>
        </w:rPr>
        <w:t> </w:t>
      </w:r>
      <w:r>
        <w:rPr>
          <w:color w:val="111111"/>
        </w:rPr>
        <w:t>used to</w:t>
      </w:r>
      <w:r>
        <w:rPr>
          <w:color w:val="111111"/>
          <w:spacing w:val="2"/>
        </w:rPr>
        <w:t> </w:t>
      </w:r>
      <w:r>
        <w:rPr>
          <w:color w:val="111111"/>
        </w:rPr>
        <w:t>predict its future</w:t>
      </w:r>
      <w:r>
        <w:rPr>
          <w:color w:val="111111"/>
          <w:spacing w:val="-1"/>
        </w:rPr>
        <w:t> </w:t>
      </w:r>
      <w:r>
        <w:rPr>
          <w:color w:val="111111"/>
        </w:rPr>
        <w:t>movement</w:t>
      </w:r>
      <w:r>
        <w:rPr/>
        <w:t>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131" w:right="457"/>
        <w:jc w:val="both"/>
      </w:pPr>
      <w:r>
        <w:rPr>
          <w:spacing w:val="-1"/>
        </w:rPr>
        <w:t>It</w:t>
      </w:r>
      <w:r>
        <w:rPr>
          <w:spacing w:val="-7"/>
        </w:rPr>
        <w:t> </w:t>
      </w:r>
      <w:r>
        <w:rPr>
          <w:spacing w:val="-1"/>
        </w:rPr>
        <w:t>considers</w:t>
      </w:r>
      <w:r>
        <w:rPr>
          <w:spacing w:val="-11"/>
        </w:rPr>
        <w:t> </w:t>
      </w:r>
      <w:r>
        <w:rPr/>
        <w:t>technical</w:t>
      </w:r>
      <w:r>
        <w:rPr>
          <w:spacing w:val="-6"/>
        </w:rPr>
        <w:t> </w:t>
      </w:r>
      <w:r>
        <w:rPr/>
        <w:t>analysis,</w:t>
      </w:r>
      <w:r>
        <w:rPr>
          <w:spacing w:val="-10"/>
        </w:rPr>
        <w:t> </w:t>
      </w:r>
      <w:r>
        <w:rPr/>
        <w:t>i.e.</w:t>
      </w:r>
      <w:r>
        <w:rPr>
          <w:spacing w:val="-11"/>
        </w:rPr>
        <w:t> </w:t>
      </w:r>
      <w:r>
        <w:rPr/>
        <w:t>study</w:t>
      </w:r>
      <w:r>
        <w:rPr>
          <w:spacing w:val="-14"/>
        </w:rPr>
        <w:t> </w:t>
      </w:r>
      <w:r>
        <w:rPr/>
        <w:t>of</w:t>
      </w:r>
      <w:r>
        <w:rPr>
          <w:spacing w:val="-11"/>
        </w:rPr>
        <w:t> </w:t>
      </w:r>
      <w:r>
        <w:rPr/>
        <w:t>price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volume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stocks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frequency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returns,</w:t>
      </w:r>
      <w:r>
        <w:rPr>
          <w:spacing w:val="-57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undependable.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131" w:right="453"/>
        <w:jc w:val="both"/>
      </w:pPr>
      <w:r>
        <w:rPr/>
        <w:t>Nevertheless, it is of utmost importance to investors to realise maximum profits. The frequency of</w:t>
      </w:r>
      <w:r>
        <w:rPr>
          <w:spacing w:val="-57"/>
        </w:rPr>
        <w:t> </w:t>
      </w:r>
      <w:r>
        <w:rPr/>
        <w:t>the duration is used to calculate the standard deviation during that period, hence using the Sharpe</w:t>
      </w:r>
      <w:r>
        <w:rPr>
          <w:spacing w:val="1"/>
        </w:rPr>
        <w:t> </w:t>
      </w:r>
      <w:r>
        <w:rPr/>
        <w:t>ratio.</w:t>
      </w:r>
    </w:p>
    <w:p>
      <w:pPr>
        <w:spacing w:after="0" w:line="276" w:lineRule="auto"/>
        <w:jc w:val="both"/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2"/>
        <w:ind w:left="131"/>
        <w:jc w:val="both"/>
      </w:pPr>
      <w:r>
        <w:rPr/>
        <w:t>From</w:t>
      </w:r>
      <w:r>
        <w:rPr>
          <w:spacing w:val="-1"/>
        </w:rPr>
        <w:t> </w:t>
      </w:r>
      <w:r>
        <w:rPr/>
        <w:t>data of the</w:t>
      </w:r>
      <w:r>
        <w:rPr>
          <w:spacing w:val="-3"/>
        </w:rPr>
        <w:t> </w:t>
      </w:r>
      <w:r>
        <w:rPr/>
        <w:t>underlying</w:t>
      </w:r>
      <w:r>
        <w:rPr>
          <w:spacing w:val="-3"/>
        </w:rPr>
        <w:t> </w:t>
      </w:r>
      <w:r>
        <w:rPr/>
        <w:t>asset and</w:t>
      </w:r>
      <w:r>
        <w:rPr>
          <w:spacing w:val="-1"/>
        </w:rPr>
        <w:t> </w:t>
      </w:r>
      <w:r>
        <w:rPr/>
        <w:t>equity</w:t>
      </w:r>
      <w:r>
        <w:rPr>
          <w:spacing w:val="-5"/>
        </w:rPr>
        <w:t> </w:t>
      </w:r>
      <w:r>
        <w:rPr/>
        <w:t>futures, the following</w:t>
      </w:r>
      <w:r>
        <w:rPr>
          <w:spacing w:val="-4"/>
        </w:rPr>
        <w:t> </w:t>
      </w:r>
      <w:r>
        <w:rPr/>
        <w:t>observations were</w:t>
      </w:r>
      <w:r>
        <w:rPr>
          <w:spacing w:val="-2"/>
        </w:rPr>
        <w:t> </w:t>
      </w:r>
      <w:r>
        <w:rPr/>
        <w:t>made: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6"/>
        </w:numPr>
        <w:tabs>
          <w:tab w:pos="851" w:val="left" w:leader="none"/>
          <w:tab w:pos="852" w:val="left" w:leader="none"/>
        </w:tabs>
        <w:spacing w:line="278" w:lineRule="auto" w:before="0" w:after="0"/>
        <w:ind w:left="851" w:right="458" w:hanging="360"/>
        <w:jc w:val="left"/>
        <w:rPr>
          <w:sz w:val="24"/>
        </w:rPr>
      </w:pPr>
      <w:r>
        <w:rPr>
          <w:sz w:val="24"/>
        </w:rPr>
        <w:t>Returns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both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underlying</w:t>
      </w:r>
      <w:r>
        <w:rPr>
          <w:spacing w:val="16"/>
          <w:sz w:val="24"/>
        </w:rPr>
        <w:t> </w:t>
      </w:r>
      <w:r>
        <w:rPr>
          <w:sz w:val="24"/>
        </w:rPr>
        <w:t>asset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futures</w:t>
      </w:r>
      <w:r>
        <w:rPr>
          <w:spacing w:val="16"/>
          <w:sz w:val="24"/>
        </w:rPr>
        <w:t> </w:t>
      </w:r>
      <w:r>
        <w:rPr>
          <w:sz w:val="24"/>
        </w:rPr>
        <w:t>instrument</w:t>
      </w:r>
      <w:r>
        <w:rPr>
          <w:spacing w:val="16"/>
          <w:sz w:val="24"/>
        </w:rPr>
        <w:t> </w:t>
      </w:r>
      <w:r>
        <w:rPr>
          <w:sz w:val="24"/>
        </w:rPr>
        <w:t>was</w:t>
      </w:r>
      <w:r>
        <w:rPr>
          <w:spacing w:val="15"/>
          <w:sz w:val="24"/>
        </w:rPr>
        <w:t> </w:t>
      </w:r>
      <w:r>
        <w:rPr>
          <w:sz w:val="24"/>
        </w:rPr>
        <w:t>highest</w:t>
      </w:r>
      <w:r>
        <w:rPr>
          <w:spacing w:val="17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monthly</w:t>
      </w:r>
      <w:r>
        <w:rPr>
          <w:spacing w:val="-57"/>
          <w:sz w:val="24"/>
        </w:rPr>
        <w:t> </w:t>
      </w:r>
      <w:r>
        <w:rPr>
          <w:sz w:val="24"/>
        </w:rPr>
        <w:t>frequency</w:t>
      </w:r>
      <w:r>
        <w:rPr>
          <w:spacing w:val="-6"/>
          <w:sz w:val="24"/>
        </w:rPr>
        <w:t> </w:t>
      </w:r>
      <w:r>
        <w:rPr>
          <w:sz w:val="24"/>
        </w:rPr>
        <w:t>but with considerable</w:t>
      </w:r>
      <w:r>
        <w:rPr>
          <w:spacing w:val="1"/>
          <w:sz w:val="24"/>
        </w:rPr>
        <w:t> </w:t>
      </w:r>
      <w:r>
        <w:rPr>
          <w:sz w:val="24"/>
        </w:rPr>
        <w:t>risk.</w:t>
      </w:r>
    </w:p>
    <w:p>
      <w:pPr>
        <w:pStyle w:val="ListParagraph"/>
        <w:numPr>
          <w:ilvl w:val="0"/>
          <w:numId w:val="16"/>
        </w:numPr>
        <w:tabs>
          <w:tab w:pos="851" w:val="left" w:leader="none"/>
          <w:tab w:pos="852" w:val="left" w:leader="none"/>
        </w:tabs>
        <w:spacing w:line="276" w:lineRule="auto" w:before="0" w:after="0"/>
        <w:ind w:left="851" w:right="460" w:hanging="360"/>
        <w:jc w:val="left"/>
        <w:rPr>
          <w:sz w:val="24"/>
        </w:rPr>
      </w:pPr>
      <w:r>
        <w:rPr>
          <w:sz w:val="24"/>
        </w:rPr>
        <w:t>Sharpe</w:t>
      </w:r>
      <w:r>
        <w:rPr>
          <w:spacing w:val="29"/>
          <w:sz w:val="24"/>
        </w:rPr>
        <w:t> </w:t>
      </w:r>
      <w:r>
        <w:rPr>
          <w:sz w:val="24"/>
        </w:rPr>
        <w:t>ratio</w:t>
      </w:r>
      <w:r>
        <w:rPr>
          <w:spacing w:val="31"/>
          <w:sz w:val="24"/>
        </w:rPr>
        <w:t> </w:t>
      </w:r>
      <w:r>
        <w:rPr>
          <w:sz w:val="24"/>
        </w:rPr>
        <w:t>was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highest</w:t>
      </w:r>
      <w:r>
        <w:rPr>
          <w:spacing w:val="32"/>
          <w:sz w:val="24"/>
        </w:rPr>
        <w:t> </w:t>
      </w:r>
      <w:r>
        <w:rPr>
          <w:sz w:val="24"/>
        </w:rPr>
        <w:t>for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monthly</w:t>
      </w:r>
      <w:r>
        <w:rPr>
          <w:spacing w:val="26"/>
          <w:sz w:val="24"/>
        </w:rPr>
        <w:t> </w:t>
      </w:r>
      <w:r>
        <w:rPr>
          <w:sz w:val="24"/>
        </w:rPr>
        <w:t>frequency</w:t>
      </w:r>
      <w:r>
        <w:rPr>
          <w:spacing w:val="27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underlying</w:t>
      </w:r>
      <w:r>
        <w:rPr>
          <w:spacing w:val="31"/>
          <w:sz w:val="24"/>
        </w:rPr>
        <w:t> </w:t>
      </w:r>
      <w:r>
        <w:rPr>
          <w:sz w:val="24"/>
        </w:rPr>
        <w:t>asset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weekly</w:t>
      </w:r>
      <w:r>
        <w:rPr>
          <w:spacing w:val="-5"/>
          <w:sz w:val="24"/>
        </w:rPr>
        <w:t> </w:t>
      </w:r>
      <w:r>
        <w:rPr>
          <w:sz w:val="24"/>
        </w:rPr>
        <w:t>frequency</w:t>
      </w:r>
      <w:r>
        <w:rPr>
          <w:spacing w:val="-5"/>
          <w:sz w:val="24"/>
        </w:rPr>
        <w:t> </w:t>
      </w:r>
      <w:r>
        <w:rPr>
          <w:sz w:val="24"/>
        </w:rPr>
        <w:t>of near-month futures contracts.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76" w:lineRule="auto"/>
        <w:ind w:left="131" w:right="464"/>
        <w:jc w:val="both"/>
      </w:pPr>
      <w:r>
        <w:rPr/>
        <w:t>However, since the volatility of weekly Near month contracts is very high, there is a higher risk</w:t>
      </w:r>
      <w:r>
        <w:rPr>
          <w:spacing w:val="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 the investments.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 w:before="1"/>
        <w:ind w:left="131" w:right="459"/>
        <w:jc w:val="both"/>
      </w:pPr>
      <w:r>
        <w:rPr>
          <w:spacing w:val="-1"/>
        </w:rPr>
        <w:t>Thus,</w:t>
      </w:r>
      <w:r>
        <w:rPr>
          <w:spacing w:val="-8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risk-averse</w:t>
      </w:r>
      <w:r>
        <w:rPr>
          <w:spacing w:val="-8"/>
        </w:rPr>
        <w:t> </w:t>
      </w:r>
      <w:r>
        <w:rPr/>
        <w:t>investors,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7"/>
        </w:rPr>
        <w:t> </w:t>
      </w:r>
      <w:r>
        <w:rPr/>
        <w:t>strategy</w:t>
      </w:r>
      <w:r>
        <w:rPr>
          <w:spacing w:val="-15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invest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hold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CHOLAFIN</w:t>
      </w:r>
      <w:r>
        <w:rPr>
          <w:spacing w:val="-7"/>
        </w:rPr>
        <w:t> </w:t>
      </w:r>
      <w:r>
        <w:rPr/>
        <w:t>stock,</w:t>
      </w:r>
      <w:r>
        <w:rPr>
          <w:spacing w:val="-58"/>
        </w:rPr>
        <w:t> </w:t>
      </w:r>
      <w:r>
        <w:rPr/>
        <w:t>while for risk-taking investors, the best strategy would be to take a long position in Near weekly</w:t>
      </w:r>
      <w:r>
        <w:rPr>
          <w:spacing w:val="1"/>
        </w:rPr>
        <w:t> </w:t>
      </w:r>
      <w:r>
        <w:rPr/>
        <w:t>contracts.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2"/>
        <w:spacing w:before="0"/>
        <w:ind w:left="311" w:right="636"/>
        <w:jc w:val="center"/>
      </w:pPr>
      <w:bookmarkStart w:name="_bookmark27" w:id="48"/>
      <w:bookmarkEnd w:id="48"/>
      <w:r>
        <w:rPr>
          <w:b w:val="0"/>
        </w:rPr>
      </w:r>
      <w:r>
        <w:rPr>
          <w:u w:val="thick"/>
        </w:rPr>
        <w:t>SECTION</w:t>
      </w:r>
      <w:r>
        <w:rPr>
          <w:spacing w:val="-3"/>
          <w:u w:val="thick"/>
        </w:rPr>
        <w:t> </w:t>
      </w:r>
      <w:r>
        <w:rPr>
          <w:u w:val="thick"/>
        </w:rPr>
        <w:t>-</w:t>
      </w:r>
      <w:r>
        <w:rPr>
          <w:spacing w:val="-2"/>
          <w:u w:val="thick"/>
        </w:rPr>
        <w:t> </w:t>
      </w:r>
      <w:r>
        <w:rPr>
          <w:u w:val="thick"/>
        </w:rPr>
        <w:t>5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10"/>
        <w:ind w:left="131" w:firstLine="0"/>
      </w:pPr>
      <w:bookmarkStart w:name="_bookmark28" w:id="49"/>
      <w:bookmarkEnd w:id="49"/>
      <w:r>
        <w:rPr>
          <w:b w:val="0"/>
        </w:rPr>
      </w:r>
      <w:r>
        <w:rPr/>
        <w:t>5.1</w:t>
      </w:r>
      <w:r>
        <w:rPr>
          <w:spacing w:val="-6"/>
        </w:rPr>
        <w:t> </w:t>
      </w:r>
      <w:r>
        <w:rPr/>
        <w:t>Conclusion</w:t>
      </w:r>
    </w:p>
    <w:p>
      <w:pPr>
        <w:pStyle w:val="BodyText"/>
        <w:spacing w:before="8"/>
        <w:rPr>
          <w:b/>
        </w:rPr>
      </w:pPr>
    </w:p>
    <w:p>
      <w:pPr>
        <w:pStyle w:val="BodyText"/>
        <w:spacing w:line="276" w:lineRule="auto"/>
        <w:ind w:left="131" w:right="454"/>
        <w:jc w:val="both"/>
      </w:pPr>
      <w:r>
        <w:rPr>
          <w:spacing w:val="-1"/>
        </w:rPr>
        <w:t>From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above</w:t>
      </w:r>
      <w:r>
        <w:rPr>
          <w:spacing w:val="-13"/>
        </w:rPr>
        <w:t> </w:t>
      </w:r>
      <w:r>
        <w:rPr>
          <w:spacing w:val="-1"/>
        </w:rPr>
        <w:t>analysis,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apparent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investing</w:t>
      </w:r>
      <w:r>
        <w:rPr>
          <w:spacing w:val="-14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Far</w:t>
      </w:r>
      <w:r>
        <w:rPr>
          <w:spacing w:val="-13"/>
        </w:rPr>
        <w:t> </w:t>
      </w:r>
      <w:r>
        <w:rPr/>
        <w:t>month</w:t>
      </w:r>
      <w:r>
        <w:rPr>
          <w:spacing w:val="-12"/>
        </w:rPr>
        <w:t> </w:t>
      </w:r>
      <w:r>
        <w:rPr/>
        <w:t>monthly</w:t>
      </w:r>
      <w:r>
        <w:rPr>
          <w:spacing w:val="-13"/>
        </w:rPr>
        <w:t> </w:t>
      </w:r>
      <w:r>
        <w:rPr/>
        <w:t>contracts</w:t>
      </w:r>
      <w:r>
        <w:rPr>
          <w:spacing w:val="-12"/>
        </w:rPr>
        <w:t> </w:t>
      </w:r>
      <w:r>
        <w:rPr/>
        <w:t>has</w:t>
      </w:r>
      <w:r>
        <w:rPr>
          <w:spacing w:val="-7"/>
        </w:rPr>
        <w:t> </w:t>
      </w:r>
      <w:r>
        <w:rPr/>
        <w:t>yielded</w:t>
      </w:r>
      <w:r>
        <w:rPr>
          <w:spacing w:val="-57"/>
        </w:rPr>
        <w:t> </w:t>
      </w:r>
      <w:r>
        <w:rPr/>
        <w:t>the maximum profits, whereas the underlying equity daily contracts have performed the worst. As</w:t>
      </w:r>
      <w:r>
        <w:rPr>
          <w:spacing w:val="-57"/>
        </w:rPr>
        <w:t> </w:t>
      </w:r>
      <w:r>
        <w:rPr/>
        <w:t>far as risk is concerned, underlying equity monthly contracts are the riskiest of all, whereas Next</w:t>
      </w:r>
      <w:r>
        <w:rPr>
          <w:spacing w:val="1"/>
        </w:rPr>
        <w:t> </w:t>
      </w:r>
      <w:r>
        <w:rPr/>
        <w:t>month</w:t>
      </w:r>
      <w:r>
        <w:rPr>
          <w:spacing w:val="-1"/>
        </w:rPr>
        <w:t> </w:t>
      </w:r>
      <w:r>
        <w:rPr/>
        <w:t>daily</w:t>
      </w:r>
      <w:r>
        <w:rPr>
          <w:spacing w:val="-5"/>
        </w:rPr>
        <w:t> </w:t>
      </w:r>
      <w:r>
        <w:rPr/>
        <w:t>contracts are</w:t>
      </w:r>
      <w:r>
        <w:rPr>
          <w:spacing w:val="1"/>
        </w:rPr>
        <w:t> </w:t>
      </w:r>
      <w:r>
        <w:rPr/>
        <w:t>the safest ones to invest</w:t>
      </w:r>
      <w:r>
        <w:rPr>
          <w:spacing w:val="2"/>
        </w:rPr>
        <w:t> </w:t>
      </w:r>
      <w:r>
        <w:rPr/>
        <w:t>in.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131" w:right="458"/>
        <w:jc w:val="both"/>
      </w:pPr>
      <w:r>
        <w:rPr/>
        <w:t>The</w:t>
      </w:r>
      <w:r>
        <w:rPr>
          <w:spacing w:val="-7"/>
        </w:rPr>
        <w:t> </w:t>
      </w:r>
      <w:r>
        <w:rPr/>
        <w:t>mean</w:t>
      </w:r>
      <w:r>
        <w:rPr>
          <w:spacing w:val="-5"/>
        </w:rPr>
        <w:t> </w:t>
      </w:r>
      <w:r>
        <w:rPr/>
        <w:t>returns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frequencies</w:t>
      </w:r>
      <w:r>
        <w:rPr>
          <w:spacing w:val="-3"/>
        </w:rPr>
        <w:t> </w:t>
      </w:r>
      <w:r>
        <w:rPr/>
        <w:t>are</w:t>
      </w:r>
      <w:r>
        <w:rPr>
          <w:spacing w:val="-7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underlying</w:t>
      </w:r>
      <w:r>
        <w:rPr>
          <w:spacing w:val="-5"/>
        </w:rPr>
        <w:t> </w:t>
      </w:r>
      <w:r>
        <w:rPr/>
        <w:t>equity</w:t>
      </w:r>
      <w:r>
        <w:rPr>
          <w:spacing w:val="-11"/>
        </w:rPr>
        <w:t> </w:t>
      </w:r>
      <w:r>
        <w:rPr/>
        <w:t>assets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equity</w:t>
      </w:r>
      <w:r>
        <w:rPr>
          <w:spacing w:val="-9"/>
        </w:rPr>
        <w:t> </w:t>
      </w:r>
      <w:r>
        <w:rPr/>
        <w:t>futures</w:t>
      </w:r>
      <w:r>
        <w:rPr>
          <w:spacing w:val="-57"/>
        </w:rPr>
        <w:t> </w:t>
      </w:r>
      <w:r>
        <w:rPr/>
        <w:t>instruments, which is a favourable condition for an investor. According to analysts’ reports,</w:t>
      </w:r>
      <w:r>
        <w:rPr>
          <w:spacing w:val="1"/>
        </w:rPr>
        <w:t> </w:t>
      </w:r>
      <w:r>
        <w:rPr/>
        <w:t>Cholamandalam Investment and Finance has the potential to yield greater returns in the next three</w:t>
      </w:r>
      <w:r>
        <w:rPr>
          <w:spacing w:val="-57"/>
        </w:rPr>
        <w:t> </w:t>
      </w:r>
      <w:r>
        <w:rPr/>
        <w:t>years.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131" w:right="458"/>
        <w:jc w:val="both"/>
      </w:pPr>
      <w:r>
        <w:rPr>
          <w:spacing w:val="-1"/>
        </w:rPr>
        <w:t>However,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firm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expected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grow</w:t>
      </w:r>
      <w:r>
        <w:rPr>
          <w:spacing w:val="-14"/>
        </w:rPr>
        <w:t> </w:t>
      </w:r>
      <w:r>
        <w:rPr/>
        <w:t>at</w:t>
      </w:r>
      <w:r>
        <w:rPr>
          <w:spacing w:val="-11"/>
        </w:rPr>
        <w:t> </w:t>
      </w:r>
      <w:r>
        <w:rPr/>
        <w:t>26.7</w:t>
      </w:r>
      <w:r>
        <w:rPr>
          <w:spacing w:val="-12"/>
        </w:rPr>
        <w:t> </w:t>
      </w:r>
      <w:r>
        <w:rPr/>
        <w:t>%,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lower</w:t>
      </w:r>
      <w:r>
        <w:rPr>
          <w:spacing w:val="-13"/>
        </w:rPr>
        <w:t> </w:t>
      </w:r>
      <w:r>
        <w:rPr/>
        <w:t>than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industry</w:t>
      </w:r>
      <w:r>
        <w:rPr>
          <w:spacing w:val="-17"/>
        </w:rPr>
        <w:t> </w:t>
      </w:r>
      <w:r>
        <w:rPr/>
        <w:t>average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34.2%.</w:t>
      </w:r>
      <w:r>
        <w:rPr>
          <w:spacing w:val="-57"/>
        </w:rPr>
        <w:t> </w:t>
      </w:r>
      <w:r>
        <w:rPr/>
        <w:t>Thus,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makes the</w:t>
      </w:r>
      <w:r>
        <w:rPr>
          <w:spacing w:val="-1"/>
        </w:rPr>
        <w:t> </w:t>
      </w:r>
      <w:r>
        <w:rPr/>
        <w:t>firm unpromising</w:t>
      </w:r>
      <w:r>
        <w:rPr>
          <w:spacing w:val="-4"/>
        </w:rPr>
        <w:t> </w:t>
      </w:r>
      <w:r>
        <w:rPr/>
        <w:t>for an</w:t>
      </w:r>
      <w:r>
        <w:rPr>
          <w:spacing w:val="-1"/>
        </w:rPr>
        <w:t> </w:t>
      </w:r>
      <w:r>
        <w:rPr/>
        <w:t>investor</w:t>
      </w:r>
      <w:r>
        <w:rPr>
          <w:spacing w:val="-1"/>
        </w:rPr>
        <w:t> </w:t>
      </w:r>
      <w:r>
        <w:rPr/>
        <w:t>to invest</w:t>
      </w:r>
      <w:r>
        <w:rPr>
          <w:spacing w:val="-1"/>
        </w:rPr>
        <w:t> </w:t>
      </w:r>
      <w:r>
        <w:rPr/>
        <w:t>in its</w:t>
      </w:r>
      <w:r>
        <w:rPr>
          <w:spacing w:val="-1"/>
        </w:rPr>
        <w:t> </w:t>
      </w:r>
      <w:r>
        <w:rPr/>
        <w:t>equity/futures instruments.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131" w:right="453"/>
        <w:jc w:val="both"/>
      </w:pPr>
      <w:r>
        <w:rPr/>
        <w:t>Thus, the trustworthiness is not very high and is also evident by the deficient proportion of shares</w:t>
      </w:r>
      <w:r>
        <w:rPr>
          <w:spacing w:val="1"/>
        </w:rPr>
        <w:t> </w:t>
      </w:r>
      <w:r>
        <w:rPr/>
        <w:t>held by the general public and government.</w:t>
      </w:r>
      <w:r>
        <w:rPr>
          <w:spacing w:val="1"/>
        </w:rPr>
        <w:t> </w:t>
      </w:r>
      <w:r>
        <w:rPr/>
        <w:t>Moreover, the returns</w:t>
      </w:r>
      <w:r>
        <w:rPr>
          <w:spacing w:val="1"/>
        </w:rPr>
        <w:t> </w:t>
      </w:r>
      <w:r>
        <w:rPr/>
        <w:t>were also highly volatile</w:t>
      </w:r>
      <w:r>
        <w:rPr>
          <w:spacing w:val="1"/>
        </w:rPr>
        <w:t> </w:t>
      </w:r>
      <w:r>
        <w:rPr/>
        <w:t>throughout the</w:t>
      </w:r>
      <w:r>
        <w:rPr>
          <w:spacing w:val="-2"/>
        </w:rPr>
        <w:t> </w:t>
      </w:r>
      <w:r>
        <w:rPr/>
        <w:t>observation.</w:t>
      </w:r>
    </w:p>
    <w:p>
      <w:pPr>
        <w:pStyle w:val="BodyText"/>
        <w:spacing w:line="276" w:lineRule="auto" w:before="1"/>
        <w:ind w:left="131" w:right="462"/>
        <w:jc w:val="both"/>
      </w:pPr>
      <w:r>
        <w:rPr/>
        <w:t>However, investors can consider investing in this firm upon critical observation of historical data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analysts’ predictions.</w:t>
      </w:r>
    </w:p>
    <w:p>
      <w:pPr>
        <w:spacing w:after="0" w:line="276" w:lineRule="auto"/>
        <w:jc w:val="both"/>
        <w:sectPr>
          <w:pgSz w:w="12240" w:h="15840"/>
          <w:pgMar w:header="725" w:footer="806" w:top="1340" w:bottom="1000" w:left="1220" w:right="9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84"/>
        <w:ind w:right="634"/>
        <w:rPr>
          <w:u w:val="none"/>
        </w:rPr>
      </w:pPr>
      <w:bookmarkStart w:name="_bookmark29" w:id="50"/>
      <w:bookmarkEnd w:id="50"/>
      <w:r>
        <w:rPr>
          <w:b w:val="0"/>
          <w:u w:val="none"/>
        </w:rPr>
      </w:r>
      <w:r>
        <w:rPr>
          <w:u w:val="thick"/>
        </w:rPr>
        <w:t>SECTION</w:t>
      </w:r>
      <w:r>
        <w:rPr>
          <w:spacing w:val="-3"/>
          <w:u w:val="thick"/>
        </w:rPr>
        <w:t> </w:t>
      </w:r>
      <w:r>
        <w:rPr>
          <w:u w:val="thick"/>
        </w:rPr>
        <w:t>6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Heading3"/>
        <w:numPr>
          <w:ilvl w:val="1"/>
          <w:numId w:val="17"/>
        </w:numPr>
        <w:tabs>
          <w:tab w:pos="555" w:val="left" w:leader="none"/>
        </w:tabs>
        <w:spacing w:line="240" w:lineRule="auto" w:before="89" w:after="0"/>
        <w:ind w:left="554" w:right="0" w:hanging="424"/>
        <w:jc w:val="left"/>
      </w:pPr>
      <w:bookmarkStart w:name="_bookmark30" w:id="51"/>
      <w:bookmarkEnd w:id="51"/>
      <w:r>
        <w:rPr>
          <w:b w:val="0"/>
        </w:rPr>
      </w:r>
      <w:bookmarkStart w:name="_bookmark30" w:id="52"/>
      <w:bookmarkEnd w:id="52"/>
      <w:r>
        <w:rPr/>
        <w:t>R</w:t>
      </w:r>
      <w:r>
        <w:rPr/>
        <w:t>eferences</w:t>
      </w:r>
    </w:p>
    <w:p>
      <w:pPr>
        <w:pStyle w:val="ListParagraph"/>
        <w:numPr>
          <w:ilvl w:val="2"/>
          <w:numId w:val="17"/>
        </w:numPr>
        <w:tabs>
          <w:tab w:pos="851" w:val="left" w:leader="none"/>
          <w:tab w:pos="852" w:val="left" w:leader="none"/>
        </w:tabs>
        <w:spacing w:line="240" w:lineRule="auto" w:before="166" w:after="0"/>
        <w:ind w:left="851" w:right="0" w:hanging="361"/>
        <w:jc w:val="left"/>
        <w:rPr>
          <w:sz w:val="24"/>
        </w:rPr>
      </w:pPr>
      <w:hyperlink r:id="rId53">
        <w:r>
          <w:rPr>
            <w:color w:val="1154CC"/>
            <w:sz w:val="24"/>
            <w:u w:val="single" w:color="1154CC"/>
          </w:rPr>
          <w:t>https://en.wikipedia.org/wiki/Cholamandalam_Investment_and_Finance_Company</w:t>
        </w:r>
      </w:hyperlink>
    </w:p>
    <w:p>
      <w:pPr>
        <w:pStyle w:val="ListParagraph"/>
        <w:numPr>
          <w:ilvl w:val="2"/>
          <w:numId w:val="17"/>
        </w:numPr>
        <w:tabs>
          <w:tab w:pos="851" w:val="left" w:leader="none"/>
          <w:tab w:pos="852" w:val="left" w:leader="none"/>
        </w:tabs>
        <w:spacing w:line="240" w:lineRule="auto" w:before="41" w:after="0"/>
        <w:ind w:left="851" w:right="0" w:hanging="361"/>
        <w:jc w:val="left"/>
        <w:rPr>
          <w:sz w:val="24"/>
        </w:rPr>
      </w:pPr>
      <w:hyperlink r:id="rId54">
        <w:r>
          <w:rPr>
            <w:color w:val="1154CC"/>
            <w:sz w:val="24"/>
            <w:u w:val="single" w:color="1154CC"/>
          </w:rPr>
          <w:t>https://www.cholamandalam.com/files/MEDIA/Annual-Reports-2019-2020.pdf</w:t>
        </w:r>
      </w:hyperlink>
    </w:p>
    <w:p>
      <w:pPr>
        <w:pStyle w:val="ListParagraph"/>
        <w:numPr>
          <w:ilvl w:val="2"/>
          <w:numId w:val="17"/>
        </w:numPr>
        <w:tabs>
          <w:tab w:pos="851" w:val="left" w:leader="none"/>
          <w:tab w:pos="852" w:val="left" w:leader="none"/>
        </w:tabs>
        <w:spacing w:line="240" w:lineRule="auto" w:before="41" w:after="0"/>
        <w:ind w:left="851" w:right="0" w:hanging="361"/>
        <w:jc w:val="left"/>
        <w:rPr>
          <w:sz w:val="24"/>
        </w:rPr>
      </w:pPr>
      <w:hyperlink r:id="rId55">
        <w:r>
          <w:rPr>
            <w:color w:val="1154CC"/>
            <w:sz w:val="24"/>
            <w:u w:val="single" w:color="1154CC"/>
          </w:rPr>
          <w:t>https://www.cholamandalam.com/</w:t>
        </w:r>
      </w:hyperlink>
    </w:p>
    <w:p>
      <w:pPr>
        <w:pStyle w:val="ListParagraph"/>
        <w:numPr>
          <w:ilvl w:val="2"/>
          <w:numId w:val="17"/>
        </w:numPr>
        <w:tabs>
          <w:tab w:pos="851" w:val="left" w:leader="none"/>
          <w:tab w:pos="852" w:val="left" w:leader="none"/>
        </w:tabs>
        <w:spacing w:line="278" w:lineRule="auto" w:before="41" w:after="0"/>
        <w:ind w:left="851" w:right="988" w:hanging="360"/>
        <w:jc w:val="left"/>
        <w:rPr>
          <w:sz w:val="24"/>
        </w:rPr>
      </w:pPr>
      <w:hyperlink r:id="rId56">
        <w:r>
          <w:rPr>
            <w:color w:val="1154CC"/>
            <w:spacing w:val="-1"/>
            <w:sz w:val="24"/>
            <w:u w:val="single" w:color="1154CC"/>
          </w:rPr>
          <w:t>https://economictimes.indiatimes.com/cholamandalam-investment-finance-company-</w:t>
        </w:r>
      </w:hyperlink>
      <w:r>
        <w:rPr>
          <w:color w:val="1154CC"/>
          <w:sz w:val="24"/>
        </w:rPr>
        <w:t> </w:t>
      </w:r>
      <w:hyperlink r:id="rId56">
        <w:r>
          <w:rPr>
            <w:color w:val="1154CC"/>
            <w:sz w:val="24"/>
            <w:u w:val="single" w:color="1154CC"/>
          </w:rPr>
          <w:t>ltd/stocks/companyid-12159.cms</w:t>
        </w:r>
      </w:hyperlink>
    </w:p>
    <w:p>
      <w:pPr>
        <w:pStyle w:val="ListParagraph"/>
        <w:numPr>
          <w:ilvl w:val="2"/>
          <w:numId w:val="17"/>
        </w:numPr>
        <w:tabs>
          <w:tab w:pos="851" w:val="left" w:leader="none"/>
          <w:tab w:pos="852" w:val="left" w:leader="none"/>
        </w:tabs>
        <w:spacing w:line="276" w:lineRule="auto" w:before="0" w:after="0"/>
        <w:ind w:left="851" w:right="1189" w:hanging="360"/>
        <w:jc w:val="left"/>
        <w:rPr>
          <w:sz w:val="24"/>
        </w:rPr>
      </w:pPr>
      <w:hyperlink r:id="rId57">
        <w:r>
          <w:rPr>
            <w:color w:val="1154CC"/>
            <w:spacing w:val="-1"/>
            <w:sz w:val="24"/>
            <w:u w:val="single" w:color="1154CC"/>
          </w:rPr>
          <w:t>https://finance.yahoo.com/news/cholamandalam-investment-finances-nse-cholafin-</w:t>
        </w:r>
      </w:hyperlink>
      <w:r>
        <w:rPr>
          <w:color w:val="1154CC"/>
          <w:sz w:val="24"/>
        </w:rPr>
        <w:t> </w:t>
      </w:r>
      <w:hyperlink r:id="rId57">
        <w:r>
          <w:rPr>
            <w:color w:val="1154CC"/>
            <w:sz w:val="24"/>
            <w:u w:val="single" w:color="1154CC"/>
          </w:rPr>
          <w:t>012614978.html</w:t>
        </w:r>
      </w:hyperlink>
    </w:p>
    <w:p>
      <w:pPr>
        <w:pStyle w:val="ListParagraph"/>
        <w:numPr>
          <w:ilvl w:val="2"/>
          <w:numId w:val="17"/>
        </w:numPr>
        <w:tabs>
          <w:tab w:pos="851" w:val="left" w:leader="none"/>
          <w:tab w:pos="852" w:val="left" w:leader="none"/>
        </w:tabs>
        <w:spacing w:line="275" w:lineRule="exact" w:before="0" w:after="0"/>
        <w:ind w:left="851" w:right="0" w:hanging="361"/>
        <w:jc w:val="left"/>
        <w:rPr>
          <w:sz w:val="24"/>
        </w:rPr>
      </w:pPr>
      <w:hyperlink r:id="rId58">
        <w:r>
          <w:rPr>
            <w:color w:val="1154CC"/>
            <w:sz w:val="24"/>
            <w:u w:val="single" w:color="1154CC"/>
          </w:rPr>
          <w:t>https://www.investopedia.com/terms/s/sharperatio.asp</w:t>
        </w:r>
      </w:hyperlink>
    </w:p>
    <w:sectPr>
      <w:pgSz w:w="12240" w:h="15840"/>
      <w:pgMar w:header="725" w:footer="806" w:top="1340" w:bottom="1000" w:left="1220" w:right="98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6.179993pt;margin-top:740.69812pt;width:17.05pt;height:14.25pt;mso-position-horizontal-relative:page;mso-position-vertical-relative:page;z-index:-1684736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6.584pt;margin-top:35.244511pt;width:115.65pt;height:13.05pt;mso-position-horizontal-relative:page;mso-position-vertical-relative:page;z-index:-168478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DRM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Assignment</w:t>
                </w:r>
                <w:r>
                  <w:rPr>
                    <w:spacing w:val="4"/>
                    <w:sz w:val="20"/>
                  </w:rPr>
                  <w:t> </w:t>
                </w:r>
                <w:r>
                  <w:rPr>
                    <w:sz w:val="20"/>
                  </w:rPr>
                  <w:t>Group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6"/>
      <w:numFmt w:val="decimal"/>
      <w:lvlText w:val="%1"/>
      <w:lvlJc w:val="left"/>
      <w:pPr>
        <w:ind w:left="554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4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851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●"/>
      <w:lvlJc w:val="left"/>
      <w:pPr>
        <w:ind w:left="851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55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3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9" w:hanging="58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1" w:hanging="5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6" w:hanging="5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2" w:hanging="5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7" w:hanging="5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3" w:hanging="5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8" w:hanging="58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●"/>
      <w:lvlJc w:val="left"/>
      <w:pPr>
        <w:ind w:left="851" w:hanging="42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4" w:hanging="4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554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4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1" w:hanging="677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30"/>
        <w:szCs w:val="30"/>
        <w:lang w:val="en-US" w:eastAsia="en-US" w:bidi="ar-SA"/>
      </w:rPr>
    </w:lvl>
    <w:lvl w:ilvl="3">
      <w:start w:val="0"/>
      <w:numFmt w:val="bullet"/>
      <w:lvlText w:val="●"/>
      <w:lvlJc w:val="left"/>
      <w:pPr>
        <w:ind w:left="851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1571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●"/>
      <w:lvlJc w:val="left"/>
      <w:pPr>
        <w:ind w:left="851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551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1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19" w:hanging="588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start w:val="0"/>
      <w:numFmt w:val="bullet"/>
      <w:lvlText w:val="●"/>
      <w:lvlJc w:val="left"/>
      <w:pPr>
        <w:ind w:left="921" w:hanging="43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40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3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06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40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3" w:hanging="43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85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571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851" w:hanging="360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851" w:hanging="360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551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1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2" w:hanging="631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2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3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4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5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4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7" w:hanging="63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683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571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683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2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8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4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0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6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2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3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683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2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8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4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0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6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2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3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683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67" w:hanging="49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5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3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8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6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4" w:hanging="49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83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67" w:hanging="49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5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3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8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6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4" w:hanging="497"/>
      </w:pPr>
      <w:rPr>
        <w:rFonts w:hint="default"/>
        <w:lang w:val="en-US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7"/>
      <w:ind w:left="131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8"/>
      <w:ind w:left="683" w:hanging="33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7"/>
      <w:ind w:left="1067" w:hanging="498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311" w:right="637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8"/>
      <w:ind w:left="131"/>
      <w:outlineLvl w:val="2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39" w:hanging="589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311"/>
      <w:jc w:val="center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51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3"/>
      <w:ind w:left="690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png"/><Relationship Id="rId41" Type="http://schemas.openxmlformats.org/officeDocument/2006/relationships/image" Target="media/image35.jpe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hyperlink" Target="https://en.wikipedia.org/wiki/Cholamandalam_Investment_and_Finance_Company" TargetMode="External"/><Relationship Id="rId54" Type="http://schemas.openxmlformats.org/officeDocument/2006/relationships/hyperlink" Target="https://www.cholamandalam.com/files/MEDIA/Annual-Reports-2019-2020.pdf" TargetMode="External"/><Relationship Id="rId55" Type="http://schemas.openxmlformats.org/officeDocument/2006/relationships/hyperlink" Target="https://www.cholamandalam.com/" TargetMode="External"/><Relationship Id="rId56" Type="http://schemas.openxmlformats.org/officeDocument/2006/relationships/hyperlink" Target="https://economictimes.indiatimes.com/cholamandalam-investment-finance-company-ltd/stocks/companyid-12159.cms" TargetMode="External"/><Relationship Id="rId57" Type="http://schemas.openxmlformats.org/officeDocument/2006/relationships/hyperlink" Target="https://finance.yahoo.com/news/cholamandalam-investment-finances-nse-cholafin-012614978.html" TargetMode="External"/><Relationship Id="rId58" Type="http://schemas.openxmlformats.org/officeDocument/2006/relationships/hyperlink" Target="https://www.investopedia.com/terms/s/sharperatio.asp" TargetMode="External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Bibin Varghese</dc:creator>
  <dcterms:created xsi:type="dcterms:W3CDTF">2022-12-07T06:50:06Z</dcterms:created>
  <dcterms:modified xsi:type="dcterms:W3CDTF">2022-12-07T06:50:06Z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2022-12-07T00:00:00Z</vt:filetime>
  </property>
</Properties>
</file>