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Aptos Display" w:hAnsi="Aptos Display"/>
          <w:b/>
          <w:color w:val="1F3A5F"/>
          <w:sz w:val="56"/>
        </w:rPr>
        <w:t>Enterprise AI Workbench</w:t>
      </w:r>
    </w:p>
    <w:p>
      <w:pPr>
        <w:jc w:val="center"/>
      </w:pPr>
      <w:r>
        <w:rPr>
          <w:rFonts w:ascii="Aptos Display" w:hAnsi="Aptos Display"/>
          <w:color w:val="365F91"/>
          <w:sz w:val="40"/>
        </w:rPr>
        <w:t>Architecture Guide</w:t>
      </w:r>
    </w:p>
    <w:p>
      <w:pPr>
        <w:spacing w:before="360"/>
        <w:jc w:val="center"/>
      </w:pPr>
      <w:r>
        <w:rPr>
          <w:i/>
          <w:color w:val="464646"/>
          <w:sz w:val="22"/>
        </w:rPr>
        <w:t>Modular, local-first, resilient enterprise application design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Aptos" w:hAnsi="Aptos"/>
                <w:b/>
                <w:color w:val="1F3A5F"/>
                <w:sz w:val="18"/>
              </w:rPr>
              <w:t>Platform Version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Architecture Baseline 1.0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Aptos" w:hAnsi="Aptos"/>
                <w:b/>
                <w:color w:val="1F3A5F"/>
                <w:sz w:val="18"/>
              </w:rPr>
              <w:t>Current Backend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FastAPI + SQLite + Ollama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Aptos" w:hAnsi="Aptos"/>
                <w:b/>
                <w:color w:val="1F3A5F"/>
                <w:sz w:val="18"/>
              </w:rPr>
              <w:t>Current Frontend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React + Vite + TypeScript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Aptos" w:hAnsi="Aptos"/>
                <w:b/>
                <w:color w:val="1F3A5F"/>
                <w:sz w:val="18"/>
              </w:rPr>
              <w:t>Primary Design Goal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Upgrade one module without breaking the rest</w:t>
            </w:r>
          </w:p>
        </w:tc>
      </w:tr>
    </w:tbl>
    <w:p/>
    <w:p>
      <w:pPr>
        <w:jc w:val="center"/>
      </w:pPr>
      <w:r>
        <w:rPr>
          <w:color w:val="464646"/>
          <w:sz w:val="18"/>
        </w:rPr>
        <w:t>Prepared for the current Enterprise AI Workbench codebase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guide defines the architectural standards for the Enterprise AI Workbench. Its purpose is to ensure that the platform can grow from its current local AI, SQL, knowledge-search, and document-processing capabilities into a maintainable enterprise application.</w:t>
      </w:r>
    </w:p>
    <w:p>
      <w:pPr>
        <w:pStyle w:val="Heading1"/>
      </w:pPr>
      <w:r>
        <w:t>2. Core Design Principle</w:t>
      </w:r>
    </w:p>
    <w:p>
      <w:r>
        <w:rPr>
          <w:b/>
          <w:color w:val="1F3A5F"/>
        </w:rPr>
        <w:t>A module must be independently upgradeable, disableable, testable, and recoverable without taking down unrelated platform functions.</w:t>
      </w:r>
    </w:p>
    <w:p>
      <w:r>
        <w:t>Every architectural decision in this guide supports that principle.</w:t>
      </w:r>
    </w:p>
    <w:p>
      <w:pPr>
        <w:pStyle w:val="Heading1"/>
      </w:pPr>
      <w:r>
        <w:t>3. Architecture Principles</w:t>
      </w:r>
    </w:p>
    <w:p>
      <w:pPr>
        <w:pStyle w:val="ListBullet"/>
        <w:spacing w:after="40"/>
      </w:pPr>
      <w:r>
        <w:t>Local-first: all core functions run on the user's workstation and local network unless explicitly changed later.</w:t>
      </w:r>
    </w:p>
    <w:p>
      <w:pPr>
        <w:pStyle w:val="ListBullet"/>
        <w:spacing w:after="40"/>
      </w:pPr>
      <w:r>
        <w:t>Modular by default: each business capability lives in its own backend and frontend module.</w:t>
      </w:r>
    </w:p>
    <w:p>
      <w:pPr>
        <w:pStyle w:val="ListBullet"/>
        <w:spacing w:after="40"/>
      </w:pPr>
      <w:r>
        <w:t>Stable contracts: modules communicate through APIs, service interfaces, shared schemas, or events.</w:t>
      </w:r>
    </w:p>
    <w:p>
      <w:pPr>
        <w:pStyle w:val="ListBullet"/>
        <w:spacing w:after="40"/>
      </w:pPr>
      <w:r>
        <w:t>Failure isolation: a failed optional module must not prevent the platform from starting.</w:t>
      </w:r>
    </w:p>
    <w:p>
      <w:pPr>
        <w:pStyle w:val="ListBullet"/>
        <w:spacing w:after="40"/>
      </w:pPr>
      <w:r>
        <w:t>Backward compatibility: existing routes remain available during staged migration.</w:t>
      </w:r>
    </w:p>
    <w:p>
      <w:pPr>
        <w:pStyle w:val="ListBullet"/>
        <w:spacing w:after="40"/>
      </w:pPr>
      <w:r>
        <w:t>Versioned change: APIs, database migrations, and module manifests carry explicit versions.</w:t>
      </w:r>
    </w:p>
    <w:p>
      <w:pPr>
        <w:pStyle w:val="ListBullet"/>
        <w:spacing w:after="40"/>
      </w:pPr>
      <w:r>
        <w:t>Deterministic accounting controls: document and financial processing uses validation rules rather than unconstrained AI output.</w:t>
      </w:r>
    </w:p>
    <w:p>
      <w:pPr>
        <w:pStyle w:val="ListBullet"/>
        <w:spacing w:after="40"/>
      </w:pPr>
      <w:r>
        <w:t>Observable behavior: modules expose health, logs, status, and version information.</w:t>
      </w:r>
    </w:p>
    <w:p>
      <w:pPr>
        <w:pStyle w:val="Heading1"/>
      </w:pPr>
      <w:r>
        <w:t>4. Current Application Baseline</w:t>
      </w:r>
    </w:p>
    <w:p>
      <w:r>
        <w:t>The current backend already includes a strong working foundation: FastAPI, CORS, Ollama chat and embedding calls, SQLite knowledge retrieval, asynchronous reindexing, health/status endpoints, and three existing routers for SQL workspace, schema exploration, and SQL AI.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Current Responsibility</w:t>
            </w:r>
          </w:p>
        </w:tc>
        <w:tc>
          <w:tcPr>
            <w:tcW w:type="dxa" w:w="3360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Current Location</w:t>
            </w:r>
          </w:p>
        </w:tc>
        <w:tc>
          <w:tcPr>
            <w:tcW w:type="dxa" w:w="3360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Target Location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FastAPI app creation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main.py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core/application.py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Configuration constants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main.py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core/config.py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Ollama chat and embeddings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main.py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shared/ai/ollama_client.py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Knowledge database access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main.py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modules/knowledge_base/repository.py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Knowledge search and RAG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main.py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modules/knowledge_base/service.py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Indexing job state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main.py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modules/knowledge_base/jobs.py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Health endpoint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main.py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core/health.py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SQL routers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Top-level backend files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modules/sql_intelligence/</w:t>
            </w:r>
          </w:p>
        </w:tc>
      </w:tr>
    </w:tbl>
    <w:p>
      <w:pPr>
        <w:pStyle w:val="Heading1"/>
      </w:pPr>
      <w:r>
        <w:t>5. Target Platform Architecture</w:t>
      </w:r>
    </w:p>
    <w:p>
      <w:pPr>
        <w:pStyle w:val="CodeBlock"/>
        <w:spacing w:before="80" w:after="120"/>
      </w:pPr>
      <w:r>
        <w:rPr>
          <w:rFonts w:ascii="Consolas" w:hAnsi="Consolas"/>
          <w:sz w:val="17"/>
        </w:rPr>
        <w:t>Enterprise AI Workbench</w:t>
        <w:br/>
        <w:t>|</w:t>
        <w:br/>
        <w:t>+-- Platform Core</w:t>
        <w:br/>
        <w:t>|   +-- Configuration</w:t>
        <w:br/>
        <w:t>|   +-- Application Factory</w:t>
        <w:br/>
        <w:t>|   +-- Module Registry</w:t>
        <w:br/>
        <w:t>|   +-- Logging</w:t>
        <w:br/>
        <w:t>|   +-- Health</w:t>
        <w:br/>
        <w:t>|   +-- Paths and Storage</w:t>
        <w:br/>
        <w:t>|</w:t>
        <w:br/>
        <w:t>+-- Shared Services</w:t>
        <w:br/>
        <w:t>|   +-- AI Clients</w:t>
        <w:br/>
        <w:t>|   +-- File Handling</w:t>
        <w:br/>
        <w:t>|   +-- Job Infrastructure</w:t>
        <w:br/>
        <w:t>|   +-- Shared Schemas</w:t>
        <w:br/>
        <w:t>|   +-- Validation Utilities</w:t>
        <w:br/>
        <w:t>|</w:t>
        <w:br/>
        <w:t>+-- Business Modules</w:t>
        <w:br/>
        <w:t>|   +-- AI Assistant</w:t>
        <w:br/>
        <w:t>|   +-- SQL Intelligence</w:t>
        <w:br/>
        <w:t>|   +-- Knowledge Base</w:t>
        <w:br/>
        <w:t>|   +-- Document Intelligence</w:t>
        <w:br/>
        <w:t>|   +-- Workflow Automation</w:t>
        <w:br/>
        <w:t>|   +-- Reporting</w:t>
        <w:br/>
        <w:t>|</w:t>
        <w:br/>
        <w:t>+-- Frontend Shell</w:t>
        <w:br/>
        <w:t xml:space="preserve">    +-- Dynamic Navigation</w:t>
        <w:br/>
        <w:t xml:space="preserve">    +-- Shared Layout</w:t>
        <w:br/>
        <w:t xml:space="preserve">    +-- Shared API Client</w:t>
        <w:br/>
        <w:t xml:space="preserve">    +-- Module Routes</w:t>
        <w:br/>
      </w:r>
    </w:p>
    <w:p>
      <w:pPr>
        <w:pStyle w:val="Heading1"/>
      </w:pPr>
      <w:r>
        <w:t>6. Recommended Folder Structure</w:t>
      </w:r>
    </w:p>
    <w:p>
      <w:pPr>
        <w:pStyle w:val="CodeBlock"/>
        <w:spacing w:before="80" w:after="120"/>
      </w:pPr>
      <w:r>
        <w:rPr>
          <w:rFonts w:ascii="Consolas" w:hAnsi="Consolas"/>
          <w:sz w:val="17"/>
        </w:rPr>
        <w:t>vite-project/</w:t>
        <w:br/>
        <w:t>+-- backend/</w:t>
        <w:br/>
        <w:t>|   +-- main.py</w:t>
        <w:br/>
        <w:t>|   +-- core/</w:t>
        <w:br/>
        <w:t>|   |   +-- application.py</w:t>
        <w:br/>
        <w:t>|   |   +-- config.py</w:t>
        <w:br/>
        <w:t>|   |   +-- health.py</w:t>
        <w:br/>
        <w:t>|   |   +-- logging.py</w:t>
        <w:br/>
        <w:t>|   |   +-- module_registry.py</w:t>
        <w:br/>
        <w:t>|   |   +-- paths.py</w:t>
        <w:br/>
        <w:t>|   |   +-- version.py</w:t>
        <w:br/>
        <w:t>|   +-- shared/</w:t>
        <w:br/>
        <w:t>|   |   +-- ai/</w:t>
        <w:br/>
        <w:t>|   |   +-- files/</w:t>
        <w:br/>
        <w:t>|   |   +-- jobs/</w:t>
        <w:br/>
        <w:t>|   |   +-- schemas/</w:t>
        <w:br/>
        <w:t>|   |   +-- validation/</w:t>
        <w:br/>
        <w:t>|   +-- modules/</w:t>
        <w:br/>
        <w:t>|       +-- assistant/</w:t>
        <w:br/>
        <w:t>|       +-- sql_intelligence/</w:t>
        <w:br/>
        <w:t>|       +-- knowledge_base/</w:t>
        <w:br/>
        <w:t>|       +-- document_intelligence/</w:t>
        <w:br/>
        <w:t>|</w:t>
        <w:br/>
        <w:t>+-- src/</w:t>
        <w:br/>
        <w:t>|   +-- app/</w:t>
        <w:br/>
        <w:t>|   |   +-- App.tsx</w:t>
        <w:br/>
        <w:t>|   |   +-- moduleRegistry.ts</w:t>
        <w:br/>
        <w:t>|   |   +-- navigation.ts</w:t>
        <w:br/>
        <w:t>|   |   +-- router.tsx</w:t>
        <w:br/>
        <w:t>|   +-- shared/</w:t>
        <w:br/>
        <w:t>|   |   +-- api/</w:t>
        <w:br/>
        <w:t>|   |   +-- components/</w:t>
        <w:br/>
        <w:t>|   |   +-- hooks/</w:t>
        <w:br/>
        <w:t>|   |   +-- layouts/</w:t>
        <w:br/>
        <w:t>|   |   +-- types/</w:t>
        <w:br/>
        <w:t>|   +-- modules/</w:t>
        <w:br/>
        <w:t>|       +-- assistant/</w:t>
        <w:br/>
        <w:t>|       +-- sql-intelligence/</w:t>
        <w:br/>
        <w:t>|       +-- knowledge-base/</w:t>
        <w:br/>
        <w:t>|       +-- document-intelligence/</w:t>
        <w:br/>
        <w:t>|</w:t>
        <w:br/>
        <w:t>+-- data/</w:t>
        <w:br/>
        <w:t>|   +-- platform.db</w:t>
        <w:br/>
        <w:t>|   +-- modules/</w:t>
        <w:br/>
        <w:t>|   +-- uploads/</w:t>
        <w:br/>
        <w:t>|   +-- exports/</w:t>
        <w:br/>
        <w:t>|</w:t>
        <w:br/>
        <w:t>+-- tests/</w:t>
        <w:br/>
        <w:t xml:space="preserve">    +-- core/</w:t>
        <w:br/>
        <w:t xml:space="preserve">    +-- integration/</w:t>
        <w:br/>
        <w:t xml:space="preserve">    +-- modules/</w:t>
        <w:br/>
      </w:r>
    </w:p>
    <w:p>
      <w:pPr>
        <w:pStyle w:val="Heading1"/>
      </w:pPr>
      <w:r>
        <w:t>7. Standard Module Contract</w:t>
      </w:r>
    </w:p>
    <w:p>
      <w:r>
        <w:t>Every backend module should follow the same public structure:</w:t>
      </w:r>
    </w:p>
    <w:p>
      <w:pPr>
        <w:pStyle w:val="CodeBlock"/>
        <w:spacing w:before="80" w:after="120"/>
      </w:pPr>
      <w:r>
        <w:rPr>
          <w:rFonts w:ascii="Consolas" w:hAnsi="Consolas"/>
          <w:sz w:val="17"/>
        </w:rPr>
        <w:t>module_name/</w:t>
        <w:br/>
        <w:t>+-- __init__.py</w:t>
        <w:br/>
        <w:t>+-- manifest.py</w:t>
        <w:br/>
        <w:t>+-- router.py</w:t>
        <w:br/>
        <w:t>+-- schemas.py</w:t>
        <w:br/>
        <w:t>+-- service.py</w:t>
        <w:br/>
        <w:t>+-- repository.py</w:t>
        <w:br/>
        <w:t>+-- models.py</w:t>
        <w:br/>
        <w:t>+-- settings.py</w:t>
        <w:br/>
        <w:t>+-- migrations/</w:t>
        <w:br/>
        <w:t>+-- tests/</w:t>
        <w:br/>
        <w:t>+-- internal/</w:t>
        <w:br/>
        <w:t>+-- README.md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5040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manifest.py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Module identity, version, dependencies, router, enabled state, and health function.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router.py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Versioned FastAPI endpoints exposed by the module.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schemas.py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Pydantic request and response contracts.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service.py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Public business operations and orchestration.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repository.py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Database access owned by the module.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models.py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Persistence models and domain records.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internal/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Private implementation details that other modules must not import.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tests/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Unit, integration, migration, and module-disabled tests.</w:t>
            </w:r>
          </w:p>
        </w:tc>
      </w:tr>
    </w:tbl>
    <w:p>
      <w:pPr>
        <w:pStyle w:val="Heading1"/>
      </w:pPr>
      <w:r>
        <w:t>8. Module Manifest Standard</w:t>
      </w:r>
    </w:p>
    <w:p>
      <w:pPr>
        <w:pStyle w:val="CodeBlock"/>
        <w:spacing w:before="80" w:after="120"/>
      </w:pPr>
      <w:r>
        <w:rPr>
          <w:rFonts w:ascii="Consolas" w:hAnsi="Consolas"/>
          <w:sz w:val="17"/>
        </w:rPr>
        <w:t>from dataclasses import dataclass</w:t>
        <w:br/>
        <w:t>from collections.abc import Callable</w:t>
        <w:br/>
        <w:t>from fastapi import APIRouter</w:t>
        <w:br/>
        <w:br/>
        <w:t>@dataclass(frozen=True)</w:t>
        <w:br/>
        <w:t>class ModuleManifest:</w:t>
        <w:br/>
        <w:t xml:space="preserve">    key: str</w:t>
        <w:br/>
        <w:t xml:space="preserve">    name: str</w:t>
        <w:br/>
        <w:t xml:space="preserve">    version: str</w:t>
        <w:br/>
        <w:t xml:space="preserve">    enabled: bool</w:t>
        <w:br/>
        <w:t xml:space="preserve">    router: APIRouter</w:t>
        <w:br/>
        <w:t xml:space="preserve">    dependencies: tuple[str, ...] = ()</w:t>
        <w:br/>
        <w:t xml:space="preserve">    health_check: Callable[[], dict] | None = None</w:t>
        <w:br/>
      </w:r>
    </w:p>
    <w:p>
      <w:r>
        <w:t>The registry loads each enabled manifest independently. Import failures are recorded as module errors instead of crashing the entire application.</w:t>
      </w:r>
    </w:p>
    <w:p>
      <w:pPr>
        <w:pStyle w:val="Heading1"/>
      </w:pPr>
      <w:r>
        <w:t>9. API Standards</w:t>
      </w:r>
    </w:p>
    <w:p>
      <w:pPr>
        <w:pStyle w:val="ListBullet"/>
        <w:spacing w:after="40"/>
      </w:pPr>
      <w:r>
        <w:t>Use versioned prefixes such as /api/v1/documents and /api/v1/sql.</w:t>
      </w:r>
    </w:p>
    <w:p>
      <w:pPr>
        <w:pStyle w:val="ListBullet"/>
        <w:spacing w:after="40"/>
      </w:pPr>
      <w:r>
        <w:t>Do not expose database implementation details in API responses.</w:t>
      </w:r>
    </w:p>
    <w:p>
      <w:pPr>
        <w:pStyle w:val="ListBullet"/>
        <w:spacing w:after="40"/>
      </w:pPr>
      <w:r>
        <w:t>Use Pydantic response models for every production endpoint.</w:t>
      </w:r>
    </w:p>
    <w:p>
      <w:pPr>
        <w:pStyle w:val="ListBullet"/>
        <w:spacing w:after="40"/>
      </w:pPr>
      <w:r>
        <w:t>Return structured errors with code, message, module, and trace identifier.</w:t>
      </w:r>
    </w:p>
    <w:p>
      <w:pPr>
        <w:pStyle w:val="ListBullet"/>
        <w:spacing w:after="40"/>
      </w:pPr>
      <w:r>
        <w:t>Preserve legacy routes during migration until the frontend is switched and smoke-tested.</w:t>
      </w:r>
    </w:p>
    <w:p>
      <w:pPr>
        <w:pStyle w:val="ListBullet"/>
        <w:spacing w:after="40"/>
      </w:pPr>
      <w:r>
        <w:t>Keep file upload, processing, review, and export operations as separate endpoints.</w:t>
      </w:r>
    </w:p>
    <w:p>
      <w:pPr>
        <w:pStyle w:val="Heading1"/>
      </w:pPr>
      <w:r>
        <w:t>10. Database Ownership and Migration Standards</w:t>
      </w:r>
    </w:p>
    <w:p>
      <w:r>
        <w:t>Each module owns its tables. A module must not write directly to another module's tables.</w:t>
      </w:r>
    </w:p>
    <w:p>
      <w:pPr>
        <w:pStyle w:val="CodeBlock"/>
        <w:spacing w:before="80" w:after="120"/>
      </w:pPr>
      <w:r>
        <w:rPr>
          <w:rFonts w:ascii="Consolas" w:hAnsi="Consolas"/>
          <w:sz w:val="17"/>
        </w:rPr>
        <w:t>core_settings</w:t>
        <w:br/>
        <w:t>core_jobs</w:t>
        <w:br/>
        <w:t>core_module_versions</w:t>
        <w:br/>
        <w:br/>
        <w:t>sql_saved_queries</w:t>
        <w:br/>
        <w:t>sql_feedback</w:t>
        <w:br/>
        <w:t>sql_relationships</w:t>
        <w:br/>
        <w:br/>
        <w:t>kb_documents</w:t>
        <w:br/>
        <w:t>kb_chunks</w:t>
        <w:br/>
        <w:t>kb_sources</w:t>
        <w:br/>
        <w:br/>
        <w:t>doc_templates</w:t>
        <w:br/>
        <w:t>doc_jobs</w:t>
        <w:br/>
        <w:t>doc_transactions</w:t>
        <w:br/>
        <w:t>doc_allocations</w:t>
        <w:br/>
        <w:t>doc_validations</w:t>
        <w:br/>
      </w:r>
    </w:p>
    <w:p>
      <w:pPr>
        <w:pStyle w:val="ListBullet"/>
        <w:spacing w:after="40"/>
      </w:pPr>
      <w:r>
        <w:t>Prefix table names by module.</w:t>
      </w:r>
    </w:p>
    <w:p>
      <w:pPr>
        <w:pStyle w:val="ListBullet"/>
        <w:spacing w:after="40"/>
      </w:pPr>
      <w:r>
        <w:t>Store migration history by module.</w:t>
      </w:r>
    </w:p>
    <w:p>
      <w:pPr>
        <w:pStyle w:val="ListBullet"/>
        <w:spacing w:after="40"/>
      </w:pPr>
      <w:r>
        <w:t>Back up the database before destructive migrations.</w:t>
      </w:r>
    </w:p>
    <w:p>
      <w:pPr>
        <w:pStyle w:val="ListBullet"/>
        <w:spacing w:after="40"/>
      </w:pPr>
      <w:r>
        <w:t>Design migrations to be repeatable and recoverable.</w:t>
      </w:r>
    </w:p>
    <w:p>
      <w:pPr>
        <w:pStyle w:val="ListBullet"/>
        <w:spacing w:after="40"/>
      </w:pPr>
      <w:r>
        <w:t>Use service calls or shared contracts for cross-module data access.</w:t>
      </w:r>
    </w:p>
    <w:p>
      <w:pPr>
        <w:pStyle w:val="Heading1"/>
      </w:pPr>
      <w:r>
        <w:t>11. Failure Isolation</w:t>
      </w:r>
    </w:p>
    <w:p>
      <w:r>
        <w:t>The platform must support the following operating states: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3360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360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Platform Behavior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Healthy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All checks pass.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Module is available.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Degraded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 dependency or optional feature is unavailable.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Module remains visible with limitations.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Failed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Module cannot initialize or process requests.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Module is isolated; platform remains online.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Disabled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Module is intentionally turned off.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Routes and navigation are omitted.</w:t>
            </w:r>
          </w:p>
        </w:tc>
      </w:tr>
    </w:tbl>
    <w:p>
      <w:pPr>
        <w:pStyle w:val="Heading1"/>
      </w:pPr>
      <w:r>
        <w:t>12. Logging and Observability</w:t>
      </w:r>
    </w:p>
    <w:p>
      <w:pPr>
        <w:pStyle w:val="ListBullet"/>
        <w:spacing w:after="40"/>
      </w:pPr>
      <w:r>
        <w:t>Every log entry includes timestamp, module key, severity, operation, and trace identifier.</w:t>
      </w:r>
    </w:p>
    <w:p>
      <w:pPr>
        <w:pStyle w:val="ListBullet"/>
        <w:spacing w:after="40"/>
      </w:pPr>
      <w:r>
        <w:t>Do not log confidential document contents, credentials, account numbers, or full prompts by default.</w:t>
      </w:r>
    </w:p>
    <w:p>
      <w:pPr>
        <w:pStyle w:val="ListBullet"/>
        <w:spacing w:after="40"/>
      </w:pPr>
      <w:r>
        <w:t>Each module exposes a health check and version.</w:t>
      </w:r>
    </w:p>
    <w:p>
      <w:pPr>
        <w:pStyle w:val="ListBullet"/>
        <w:spacing w:after="40"/>
      </w:pPr>
      <w:r>
        <w:t>Long-running jobs expose queued, running, completed, failed, and cancelled states.</w:t>
      </w:r>
    </w:p>
    <w:p>
      <w:pPr>
        <w:pStyle w:val="ListBullet"/>
        <w:spacing w:after="40"/>
      </w:pPr>
      <w:r>
        <w:t>The dashboard displays module health without requiring users to inspect terminal logs.</w:t>
      </w:r>
    </w:p>
    <w:p>
      <w:pPr>
        <w:pStyle w:val="Heading1"/>
      </w:pPr>
      <w:r>
        <w:t>13. Document Intelligence Standards</w:t>
      </w:r>
    </w:p>
    <w:p>
      <w:r>
        <w:t>Document Intelligence will be the first new module built fully under this architecture. The initial implementation will process PNC Pittsburgh lockbox PDF reports and reproduce the approved Excel output.</w:t>
      </w:r>
    </w:p>
    <w:p>
      <w:pPr>
        <w:pStyle w:val="CodeBlock"/>
        <w:spacing w:before="80" w:after="120"/>
      </w:pPr>
      <w:r>
        <w:rPr>
          <w:rFonts w:ascii="Consolas" w:hAnsi="Consolas"/>
          <w:sz w:val="17"/>
        </w:rPr>
        <w:t>PDF Upload</w:t>
        <w:br/>
        <w:t xml:space="preserve">   |</w:t>
        <w:br/>
        <w:t xml:space="preserve">   +-- Document classification</w:t>
        <w:br/>
        <w:t xml:space="preserve">   +-- Native text extraction</w:t>
        <w:br/>
        <w:t xml:space="preserve">   +-- Image/remittance extraction</w:t>
        <w:br/>
        <w:t xml:space="preserve">   +-- Transaction parsing</w:t>
        <w:br/>
        <w:t xml:space="preserve">   +-- Invoice allocation parsing</w:t>
        <w:br/>
        <w:t xml:space="preserve">   +-- Confidence scoring</w:t>
        <w:br/>
        <w:t xml:space="preserve">   +-- Validation</w:t>
        <w:br/>
        <w:t xml:space="preserve">   +-- Comparison to approved Excel</w:t>
        <w:br/>
        <w:t xml:space="preserve">   +-- Excel generation</w:t>
        <w:br/>
        <w:t xml:space="preserve">   +-- Exception review</w:t>
        <w:br/>
      </w:r>
    </w:p>
    <w:p>
      <w:pPr>
        <w:pStyle w:val="ListBullet"/>
        <w:spacing w:after="40"/>
      </w:pPr>
      <w:r>
        <w:t>Prefer deterministic parsing for labeled transaction fields.</w:t>
      </w:r>
    </w:p>
    <w:p>
      <w:pPr>
        <w:pStyle w:val="ListBullet"/>
        <w:spacing w:after="40"/>
      </w:pPr>
      <w:r>
        <w:t>Use OCR or local vision only when information exists solely in scanned images.</w:t>
      </w:r>
    </w:p>
    <w:p>
      <w:pPr>
        <w:pStyle w:val="ListBullet"/>
        <w:spacing w:after="40"/>
      </w:pPr>
      <w:r>
        <w:t>Validate invoice allocations against check totals before export.</w:t>
      </w:r>
    </w:p>
    <w:p>
      <w:pPr>
        <w:pStyle w:val="ListBullet"/>
        <w:spacing w:after="40"/>
      </w:pPr>
      <w:r>
        <w:t>Store document templates and corrections as versioned data.</w:t>
      </w:r>
    </w:p>
    <w:p>
      <w:pPr>
        <w:pStyle w:val="ListBullet"/>
        <w:spacing w:after="40"/>
      </w:pPr>
      <w:r>
        <w:t>Never allow the language model alone to determine accounting totals.</w:t>
      </w:r>
    </w:p>
    <w:p>
      <w:pPr>
        <w:pStyle w:val="ListBullet"/>
        <w:spacing w:after="40"/>
      </w:pPr>
      <w:r>
        <w:t>Retain source-page references for every extracted field when practical.</w:t>
      </w:r>
    </w:p>
    <w:p>
      <w:pPr>
        <w:pStyle w:val="Heading1"/>
      </w:pPr>
      <w:r>
        <w:t>14. AI Integration Standards</w:t>
      </w:r>
    </w:p>
    <w:p>
      <w:pPr>
        <w:pStyle w:val="ListBullet"/>
        <w:spacing w:after="40"/>
      </w:pPr>
      <w:r>
        <w:t>AI clients live in shared/ai and are accessed through stable interfaces.</w:t>
      </w:r>
    </w:p>
    <w:p>
      <w:pPr>
        <w:pStyle w:val="ListBullet"/>
        <w:spacing w:after="40"/>
      </w:pPr>
      <w:r>
        <w:t>Models are configurable rather than hardcoded across multiple modules.</w:t>
      </w:r>
    </w:p>
    <w:p>
      <w:pPr>
        <w:pStyle w:val="ListBullet"/>
        <w:spacing w:after="40"/>
      </w:pPr>
      <w:r>
        <w:t>Retrieval context is limited to relevant records; avoid injecting entire knowledge collections.</w:t>
      </w:r>
    </w:p>
    <w:p>
      <w:pPr>
        <w:pStyle w:val="ListBullet"/>
        <w:spacing w:after="40"/>
      </w:pPr>
      <w:r>
        <w:t>Temperature is low for SQL, extraction, and accounting operations.</w:t>
      </w:r>
    </w:p>
    <w:p>
      <w:pPr>
        <w:pStyle w:val="ListBullet"/>
        <w:spacing w:after="40"/>
      </w:pPr>
      <w:r>
        <w:t>AI output must pass deterministic validation before execution or export.</w:t>
      </w:r>
    </w:p>
    <w:p>
      <w:pPr>
        <w:pStyle w:val="ListBullet"/>
        <w:spacing w:after="40"/>
      </w:pPr>
      <w:r>
        <w:t>Feedback and corrections are stored as retrievable examples before considering fine-tuning.</w:t>
      </w:r>
    </w:p>
    <w:p>
      <w:pPr>
        <w:pStyle w:val="Heading1"/>
      </w:pPr>
      <w:r>
        <w:t>15. Testing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Test Layer</w:t>
            </w:r>
          </w:p>
        </w:tc>
        <w:tc>
          <w:tcPr>
            <w:tcW w:type="dxa" w:w="5040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Required Coverage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Unit 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Parser functions, validators, mappings, repositories, and utilities.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Module integration 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Router-to-service-to-database behavior inside one module.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Platform smoke 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App startup, /health, module registry, and current core endpoints.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Disabled-module 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Platform starts and unrelated routes work when a module is disabled.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Migration 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New and upgraded databases reach the expected schema.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Golden-file 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Known PDF inputs reproduce approved structured and Excel outputs.</w:t>
            </w:r>
          </w:p>
        </w:tc>
      </w:tr>
    </w:tbl>
    <w:p>
      <w:pPr>
        <w:pStyle w:val="Heading1"/>
      </w:pPr>
      <w:r>
        <w:t>16. Versioning and Git Workflow</w:t>
      </w:r>
    </w:p>
    <w:p>
      <w:pPr>
        <w:pStyle w:val="ListBullet"/>
        <w:spacing w:after="40"/>
      </w:pPr>
      <w:r>
        <w:t>Core platform and each module have independent semantic versions.</w:t>
      </w:r>
    </w:p>
    <w:p>
      <w:pPr>
        <w:pStyle w:val="ListBullet"/>
        <w:spacing w:after="40"/>
      </w:pPr>
      <w:r>
        <w:t>Use feature branches such as feature/module-registry and feature/document-intelligence.</w:t>
      </w:r>
    </w:p>
    <w:p>
      <w:pPr>
        <w:pStyle w:val="ListBullet"/>
        <w:spacing w:after="40"/>
      </w:pPr>
      <w:r>
        <w:t>Commit after each verified working checkpoint.</w:t>
      </w:r>
    </w:p>
    <w:p>
      <w:pPr>
        <w:pStyle w:val="ListBullet"/>
        <w:spacing w:after="40"/>
      </w:pPr>
      <w:r>
        <w:t>Do not combine broad refactoring with business-rule changes in the same commit.</w:t>
      </w:r>
    </w:p>
    <w:p>
      <w:pPr>
        <w:pStyle w:val="ListBullet"/>
        <w:spacing w:after="40"/>
      </w:pPr>
      <w:r>
        <w:t>Tag stable platform milestones.</w:t>
      </w:r>
    </w:p>
    <w:p>
      <w:pPr>
        <w:pStyle w:val="ListBullet"/>
        <w:spacing w:after="40"/>
      </w:pPr>
      <w:r>
        <w:t>Maintain a short CHANGELOG entry for module behavior, migrations, and compatibility.</w:t>
      </w:r>
    </w:p>
    <w:p>
      <w:pPr>
        <w:pStyle w:val="Heading1"/>
      </w:pPr>
      <w:r>
        <w:t>17. Safe Migration Roadmap</w:t>
      </w:r>
    </w:p>
    <w:p>
      <w:r>
        <w:rPr>
          <w:b/>
          <w:color w:val="1F3A5F"/>
        </w:rPr>
        <w:t>Step 1 - Foundation</w:t>
      </w:r>
      <w:r>
        <w:t>: Add core configuration, module registry, module status endpoint, and health aggregation. Do not move existing endpoints.</w:t>
      </w:r>
    </w:p>
    <w:p>
      <w:r>
        <w:rPr>
          <w:b/>
          <w:color w:val="1F3A5F"/>
        </w:rPr>
        <w:t>Step 2 - Document Intelligence</w:t>
      </w:r>
      <w:r>
        <w:t>: Build the PNC processor as the first fully modular feature.</w:t>
      </w:r>
    </w:p>
    <w:p>
      <w:r>
        <w:rPr>
          <w:b/>
          <w:color w:val="1F3A5F"/>
        </w:rPr>
        <w:t>Step 3 - Knowledge Base</w:t>
      </w:r>
      <w:r>
        <w:t>: Move knowledge search, indexing, and RAG from main.py into its module while preserving legacy routes.</w:t>
      </w:r>
    </w:p>
    <w:p>
      <w:r>
        <w:rPr>
          <w:b/>
          <w:color w:val="1F3A5F"/>
        </w:rPr>
        <w:t>Step 4 - SQL Intelligence</w:t>
      </w:r>
      <w:r>
        <w:t>: Move SQL workspace, schema explorer, and SQL AI under one module boundary.</w:t>
      </w:r>
    </w:p>
    <w:p>
      <w:r>
        <w:rPr>
          <w:b/>
          <w:color w:val="1F3A5F"/>
        </w:rPr>
        <w:t>Step 5 - Assistant</w:t>
      </w:r>
      <w:r>
        <w:t>: Move general chat and shared AI orchestration into the assistant module.</w:t>
      </w:r>
    </w:p>
    <w:p>
      <w:r>
        <w:rPr>
          <w:b/>
          <w:color w:val="1F3A5F"/>
        </w:rPr>
        <w:t>Step 6 - Frontend Registry</w:t>
      </w:r>
      <w:r>
        <w:t>: Drive navigation and routes from module manifests.</w:t>
      </w:r>
    </w:p>
    <w:p>
      <w:r>
        <w:rPr>
          <w:b/>
          <w:color w:val="1F3A5F"/>
        </w:rPr>
        <w:t>Step 7 - Cleanup</w:t>
      </w:r>
      <w:r>
        <w:t>: Remove legacy imports only after tests and endpoint compatibility checks pass.</w:t>
      </w:r>
    </w:p>
    <w:p>
      <w:pPr>
        <w:pStyle w:val="Heading1"/>
      </w:pPr>
      <w:r>
        <w:t>18. Definition of Done for a Module</w:t>
      </w:r>
    </w:p>
    <w:p>
      <w:pPr>
        <w:pStyle w:val="ListBullet"/>
        <w:spacing w:after="40"/>
      </w:pPr>
      <w:r>
        <w:t>Manifest exists and reports key, name, version, dependencies, and enabled state.</w:t>
      </w:r>
    </w:p>
    <w:p>
      <w:pPr>
        <w:pStyle w:val="ListBullet"/>
        <w:spacing w:after="40"/>
      </w:pPr>
      <w:r>
        <w:t>Public API is versioned and documented.</w:t>
      </w:r>
    </w:p>
    <w:p>
      <w:pPr>
        <w:pStyle w:val="ListBullet"/>
        <w:spacing w:after="40"/>
      </w:pPr>
      <w:r>
        <w:t>Database ownership is clear and migrations are included.</w:t>
      </w:r>
    </w:p>
    <w:p>
      <w:pPr>
        <w:pStyle w:val="ListBullet"/>
        <w:spacing w:after="40"/>
      </w:pPr>
      <w:r>
        <w:t>Health check works.</w:t>
      </w:r>
    </w:p>
    <w:p>
      <w:pPr>
        <w:pStyle w:val="ListBullet"/>
        <w:spacing w:after="40"/>
      </w:pPr>
      <w:r>
        <w:t>Module can be disabled without preventing platform startup.</w:t>
      </w:r>
    </w:p>
    <w:p>
      <w:pPr>
        <w:pStyle w:val="ListBullet"/>
        <w:spacing w:after="40"/>
      </w:pPr>
      <w:r>
        <w:t>Unit and integration tests pass.</w:t>
      </w:r>
    </w:p>
    <w:p>
      <w:pPr>
        <w:pStyle w:val="ListBullet"/>
        <w:spacing w:after="40"/>
      </w:pPr>
      <w:r>
        <w:t>Platform smoke tests pass.</w:t>
      </w:r>
    </w:p>
    <w:p>
      <w:pPr>
        <w:pStyle w:val="ListBullet"/>
        <w:spacing w:after="40"/>
      </w:pPr>
      <w:r>
        <w:t>Errors are logged and returned in a controlled format.</w:t>
      </w:r>
    </w:p>
    <w:p>
      <w:pPr>
        <w:pStyle w:val="ListBullet"/>
        <w:spacing w:after="40"/>
      </w:pPr>
      <w:r>
        <w:t>README explains setup, dependencies, endpoints, data, and rollback.</w:t>
      </w:r>
    </w:p>
    <w:p>
      <w:pPr>
        <w:pStyle w:val="ListBullet"/>
        <w:spacing w:after="40"/>
      </w:pPr>
      <w:r>
        <w:t>A verified rollback path exists.</w:t>
      </w:r>
    </w:p>
    <w:p>
      <w:pPr>
        <w:pStyle w:val="Heading1"/>
      </w:pPr>
      <w:r>
        <w:t>19. Immediate Implementation Sequence</w:t>
      </w:r>
    </w:p>
    <w:p>
      <w:r>
        <w:t>The next coding checkpoint should add the platform foundation while leaving the uploaded main.py behavior intact.</w:t>
      </w:r>
    </w:p>
    <w:p>
      <w:pPr>
        <w:pStyle w:val="CodeBlock"/>
        <w:spacing w:before="80" w:after="120"/>
      </w:pPr>
      <w:r>
        <w:rPr>
          <w:rFonts w:ascii="Consolas" w:hAnsi="Consolas"/>
          <w:sz w:val="17"/>
        </w:rPr>
        <w:t>1. backend/core/config.py</w:t>
        <w:br/>
        <w:t>2. backend/core/module_registry.py</w:t>
        <w:br/>
        <w:t>3. backend/core/health.py</w:t>
        <w:br/>
        <w:t>4. backend/modules/document_intelligence/manifest.py</w:t>
        <w:br/>
        <w:t>5. backend/modules/document_intelligence/router.py</w:t>
        <w:br/>
        <w:t>6. Update main.py to register modules safely</w:t>
        <w:br/>
        <w:t>7. Start backend and verify all current routes</w:t>
        <w:br/>
        <w:t>8. Verify the backend still starts with Document Intelligence disabled</w:t>
        <w:br/>
      </w:r>
    </w:p>
    <w:p>
      <w:pPr>
        <w:pStyle w:val="Heading1"/>
      </w:pPr>
      <w:r>
        <w:t>20. Architecture Decision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360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360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 modular monolith before microservices</w:t>
            </w:r>
          </w:p>
        </w:tc>
        <w:tc>
          <w:tcPr>
            <w:tcW w:type="dxa" w:w="3360"/>
            <w:shd w:fill="E2F0D9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Approved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Best balance for a single local workstation application.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Keep existing routes during migration</w:t>
            </w:r>
          </w:p>
        </w:tc>
        <w:tc>
          <w:tcPr>
            <w:tcW w:type="dxa" w:w="3360"/>
            <w:shd w:fill="E2F0D9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Approved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Avoid breaking the working frontend.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 manifests and registry</w:t>
            </w:r>
          </w:p>
        </w:tc>
        <w:tc>
          <w:tcPr>
            <w:tcW w:type="dxa" w:w="3360"/>
            <w:shd w:fill="E2F0D9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Approved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Supports independent loading, status, and versioning.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Build Document Intelligence before broader Phase 2 work</w:t>
            </w:r>
          </w:p>
        </w:tc>
        <w:tc>
          <w:tcPr>
            <w:tcW w:type="dxa" w:w="3360"/>
            <w:shd w:fill="E2F0D9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Approved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Immediate business value and validates the modular design.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 deterministic validation around AI</w:t>
            </w:r>
          </w:p>
        </w:tc>
        <w:tc>
          <w:tcPr>
            <w:tcW w:type="dxa" w:w="3360"/>
            <w:shd w:fill="E2F0D9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Approved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 for accounting and document reliability.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Delay model fine-tuning</w:t>
            </w:r>
          </w:p>
        </w:tc>
        <w:tc>
          <w:tcPr>
            <w:tcW w:type="dxa" w:w="3360"/>
            <w:shd w:fill="E2F0D9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Approved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Retrieval and correction storage provide safer early learning.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64646"/>
        <w:sz w:val="16"/>
      </w:rPr>
      <w:t>Enterprise AI Workbench Architecture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36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