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Genuine Steps Certificate</w:t>
      </w:r>
    </w:p>
    <w:p>
      <w:r>
        <w:rPr>
          <w:i/>
          <w:color w:val="444444"/>
          <w:sz w:val="19"/>
        </w:rPr>
        <w:t>Federal Circuit and Family Court of Australia (Division 2) — Melbourne registry</w:t>
      </w:r>
    </w:p>
    <w:p>
      <w:r>
        <w:rPr>
          <w:b/>
        </w:rPr>
        <w:t xml:space="preserve">Applicant:  </w:t>
      </w:r>
      <w:r>
        <w:t>Amara Jane Whitfield</w:t>
      </w:r>
    </w:p>
    <w:p>
      <w:r>
        <w:rPr>
          <w:b/>
        </w:rPr>
        <w:t xml:space="preserve">Respondent:  </w:t>
      </w:r>
      <w:r>
        <w:t>Bao Tri Nguyen</w:t>
      </w:r>
    </w:p>
    <w:p>
      <w:r>
        <w:rPr>
          <w:b/>
          <w:sz w:val="22"/>
        </w:rPr>
        <w:t>Certificate</w:t>
      </w:r>
    </w:p>
    <w:p>
      <w:r>
        <w:t>I, Priya Anjali Raman, solicitor for the applicant, certify that the applicant has taken the following genuine steps to resolve the dispute:</w:t>
      </w:r>
    </w:p>
    <w:p>
      <w:pPr>
        <w:pStyle w:val="ListNumber"/>
      </w:pPr>
      <w:r>
        <w:t>Written notice of intention to commence proceedings given on 24 March 2026 identifying the issues in dispute and the orders sought.</w:t>
      </w:r>
    </w:p>
    <w:p>
      <w:pPr>
        <w:pStyle w:val="ListNumber"/>
      </w:pPr>
      <w:r>
        <w:t>Full and frank financial disclosure exchanged between 15 April 2026 and 18 June 2026.</w:t>
      </w:r>
    </w:p>
    <w:p>
      <w:pPr>
        <w:pStyle w:val="ListNumber"/>
      </w:pPr>
      <w:r>
        <w:t>Family dispute resolution attended at Relationships Australia Victoria on 22 May 2026 and 3 July 2026, resulting in a certificate under section 60I(8)(b) issued on 10 July 2026.</w:t>
      </w:r>
    </w:p>
    <w:p>
      <w:pPr>
        <w:pStyle w:val="ListNumber"/>
      </w:pPr>
      <w:r>
        <w:t>A written offer of settlement made on 17 July 2026 and rejected on 4 August 2026.</w:t>
      </w:r>
    </w:p>
    <w:p>
      <w:r>
        <w:rPr>
          <w:b/>
        </w:rPr>
        <w:t xml:space="preserve">Signed:  </w:t>
      </w:r>
      <w:r>
        <w:t>Priya Raman, Lawyer's Code VIC0947, Raman &amp; Cole Family Lawyers</w:t>
      </w:r>
    </w:p>
    <w:p>
      <w:r>
        <w:rPr>
          <w:b/>
        </w:rPr>
        <w:t xml:space="preserve">Date:  </w:t>
      </w:r>
      <w:r>
        <w:t>14 August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