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Notice of Child Abuse, Family Violence or Risk</w:t>
      </w:r>
    </w:p>
    <w:p>
      <w:r>
        <w:rPr>
          <w:i/>
          <w:color w:val="444444"/>
          <w:sz w:val="19"/>
        </w:rPr>
        <w:t>DRAFT for filing with the Initiating Application</w:t>
      </w:r>
    </w:p>
    <w:p>
      <w:r>
        <w:rPr>
          <w:b/>
        </w:rPr>
        <w:t xml:space="preserve">Applicant:  </w:t>
      </w:r>
      <w:r>
        <w:t>Amara Jane Whitfield</w:t>
      </w:r>
    </w:p>
    <w:p>
      <w:r>
        <w:rPr>
          <w:b/>
        </w:rPr>
        <w:t xml:space="preserve">Respondent:  </w:t>
      </w:r>
      <w:r>
        <w:t>Bao Tri Nguyen</w:t>
      </w:r>
    </w:p>
    <w:p>
      <w:r>
        <w:t>This notice is filed with the Initiating Application because parenting orders are sought and there is an existing family violence order.</w:t>
      </w:r>
    </w:p>
    <w:p>
      <w:r>
        <w:t>Particulars are set out in the affidavit of Amara Jane Whitfield sworn 18 August 2026.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