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Balance sheet — Whitfield &amp; Nguyen</w:t>
      </w:r>
    </w:p>
    <w:p>
      <w:r>
        <w:rPr>
          <w:i/>
          <w:color w:val="444444"/>
          <w:sz w:val="19"/>
        </w:rPr>
        <w:t>Prepared by Raman &amp; Cole Family Lawyers as at 12 August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9"/>
              </w:rPr>
              <w:t>Item</w:t>
            </w:r>
          </w:p>
        </w:tc>
        <w:tc>
          <w:tcPr>
            <w:tcW w:type="dxa" w:w="3249"/>
          </w:tcPr>
          <w:p>
            <w:r>
              <w:rPr>
                <w:b/>
                <w:sz w:val="19"/>
              </w:rPr>
              <w:t>Owner</w:t>
            </w:r>
          </w:p>
        </w:tc>
        <w:tc>
          <w:tcPr>
            <w:tcW w:type="dxa" w:w="3249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18 Kelburn Street, Coburg VIC 3058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Joint tenants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$1,180,000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12/6 Nicholson Street, Coburg VIC 3058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Respondent (sole)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$615,000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Hai Au Kitchen Pty Ltd (ACN 617 442 908)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Respondent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$185,000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2019 Mazda CX-5 Touring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Applicant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$24,500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2021 Toyota HiLux SR5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Respondent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$43,000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Bendigo Bank savings 5537 8891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Applicant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$38,617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ANZ Access Advantage 4417 2265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Respondent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$12,405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Offset balance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Joint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$6,800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TOTAL ASSETS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$2,105,322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Bendigo Bank loan 5537 2210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Joint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($384,220)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ANZ investment loan 4417 9083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Respondent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($352,881)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Credit cards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Both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($18,643)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Judo Bank equipment finance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Respondent/company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($61,300)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ATO integrated client account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Company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($24,150)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TOTAL LIABILITIES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($841,194)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NET NON-SUPERANNUATION POOL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$1,264,128</w:t>
            </w:r>
          </w:p>
        </w:tc>
      </w:tr>
    </w:tbl>
    <w:p/>
    <w:p>
      <w:r>
        <w:rPr>
          <w:b/>
          <w:sz w:val="22"/>
        </w:rPr>
        <w:t>Superannuation (treated separately)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9"/>
              </w:rPr>
              <w:t>Interest</w:t>
            </w:r>
          </w:p>
        </w:tc>
        <w:tc>
          <w:tcPr>
            <w:tcW w:type="dxa" w:w="3249"/>
          </w:tcPr>
          <w:p>
            <w:r>
              <w:rPr>
                <w:b/>
                <w:sz w:val="19"/>
              </w:rPr>
              <w:t>Member</w:t>
            </w:r>
          </w:p>
        </w:tc>
        <w:tc>
          <w:tcPr>
            <w:tcW w:type="dxa" w:w="3249"/>
          </w:tcPr>
          <w:p>
            <w:r>
              <w:rPr>
                <w:b/>
                <w:sz w:val="19"/>
              </w:rPr>
              <w:t>Balance at 30/06/2026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HESTA 3300 4472 118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Amara Jane Whitfield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$148,260.41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Australian Retirement Trust 8842 1907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Bao Tri Nguyen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$263,942.86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Total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$412,203.27</w:t>
            </w:r>
          </w:p>
        </w:tc>
      </w:tr>
    </w:tbl>
    <w:p/>
    <w:p>
      <w:r>
        <w:rPr>
          <w:b/>
          <w:sz w:val="22"/>
        </w:rPr>
        <w:t>Applicant's proposal</w:t>
      </w:r>
    </w:p>
    <w:p>
      <w:r>
        <w:t>58% of the net non-superannuation pool to the applicant and 42% to the respondent, together with a superannuation splitting order in the base amount of $57,840 from the respondent's Australian Retirement Trust interest to the applicant's HESTA interest.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