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Attendance note — initial conference</w:t>
      </w:r>
    </w:p>
    <w:p>
      <w:r>
        <w:rPr>
          <w:i/>
          <w:color w:val="444444"/>
          <w:sz w:val="19"/>
        </w:rPr>
        <w:t>Whitfield &amp; Nguyen  |  16 February 2026  |  Attending: Priya Raman (principal), Dominic Cole (paralegal)</w:t>
      </w:r>
    </w:p>
    <w:p>
      <w:r>
        <w:rPr>
          <w:b/>
          <w:sz w:val="22"/>
        </w:rPr>
        <w:t>Client</w:t>
      </w:r>
    </w:p>
    <w:p>
      <w:r>
        <w:t>Amara Jane Whitfield attended in person. She is 37 and works full time as a Nurse Unit Manager at the Northern Hospital in Epping. She was born in Ballarat and is an Australian citizen. She lives at 18 Kelburn Street, Coburg with the three children.</w:t>
      </w:r>
    </w:p>
    <w:p>
      <w:r>
        <w:rPr>
          <w:b/>
          <w:sz w:val="22"/>
        </w:rPr>
        <w:t>The relationship</w:t>
      </w:r>
    </w:p>
    <w:p>
      <w:r>
        <w:t>The client and Mr Bao Tri Nguyen began living together in March 2012 at a rented flat in Clifton Hill. They never married. They registered their relationship with Births Deaths and Marriages in 2014. They separated in late November 2025 and Mr Nguyen moved out in February 2026.</w:t>
      </w:r>
    </w:p>
    <w:p>
      <w:r>
        <w:rPr>
          <w:b/>
          <w:sz w:val="22"/>
        </w:rPr>
        <w:t>The children</w:t>
      </w:r>
    </w:p>
    <w:p>
      <w:r>
        <w:t>Three children: Harper (12), Elliot (9) and Thea (4). All three live with the client. They see their father on alternate weekends under a parenting plan signed in March.</w:t>
      </w:r>
    </w:p>
    <w:p>
      <w:r>
        <w:rPr>
          <w:b/>
          <w:sz w:val="22"/>
        </w:rPr>
        <w:t>The property</w:t>
      </w:r>
    </w:p>
    <w:p>
      <w:r>
        <w:t>The former family home at Coburg is in joint names. Mr Nguyen owns an investment unit in Nicholson Street in his sole name and runs a restaurant on Sydney Road through a company. Both parties have superannuation.</w:t>
      </w:r>
    </w:p>
    <w:p>
      <w:r>
        <w:rPr>
          <w:b/>
          <w:sz w:val="22"/>
        </w:rPr>
        <w:t>Other proceedings</w:t>
      </w:r>
    </w:p>
    <w:p>
      <w:r>
        <w:t>The police have applied for a family violence intervention order at Broadmeadows. There is an interim order. No other court proceedings.</w:t>
      </w:r>
    </w:p>
    <w:p>
      <w:r>
        <w:rPr>
          <w:b/>
          <w:sz w:val="22"/>
        </w:rPr>
        <w:t>Advice given</w:t>
      </w:r>
    </w:p>
    <w:p>
      <w:r>
        <w:t>Advised about the pre-action procedures, family dispute resolution and the duty of disclosure. The client was given the Court's brochure 'Marriage, Families and Separation' at the follow-up conference on 24 February 2026.</w:t>
      </w:r>
    </w:p>
    <w:p>
      <w:r>
        <w:rPr>
          <w:b/>
          <w:sz w:val="22"/>
        </w:rPr>
        <w:t>Next steps</w:t>
      </w:r>
    </w:p>
    <w:p>
      <w:r>
        <w:t>Obtain identity documents, the relationship registration certificate and the children's birth certificates. Send a letter of intention. Refer to family dispute resolution.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