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Telephone attendance on Relationships Australia Victoria</w:t>
      </w:r>
    </w:p>
    <w:p>
      <w:r>
        <w:rPr>
          <w:i/>
          <w:color w:val="444444"/>
          <w:sz w:val="19"/>
        </w:rPr>
        <w:t>Whitfield &amp; Nguyen | PR/2026/0447 | 11 March 2026</w:t>
      </w:r>
    </w:p>
    <w:p>
      <w:r>
        <w:rPr>
          <w:b/>
        </w:rPr>
        <w:t xml:space="preserve">Attended by:  </w:t>
      </w:r>
      <w:r>
        <w:t>Priya Raman</w:t>
      </w:r>
    </w:p>
    <w:p>
      <w:r>
        <w:rPr>
          <w:b/>
        </w:rPr>
        <w:t xml:space="preserve">Duration:  </w:t>
      </w:r>
      <w:r>
        <w:t>21 minutes</w:t>
      </w:r>
    </w:p>
    <w:p>
      <w:r>
        <w:t>Discussed the matters referred to above. Instructions confirmed and recorded on the file.</w:t>
      </w:r>
    </w:p>
    <w:p>
      <w:r>
        <w:t>The applicant is Amara Jane Whitfield of 18 Kelburn Street, Coburg VIC 3058. The respondent is Bao Tri Nguyen of 4/91 Sydney Road, Brunswick VIC 3056. There are three children.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