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Second conference</w:t>
      </w:r>
    </w:p>
    <w:p>
      <w:r>
        <w:rPr>
          <w:i/>
          <w:color w:val="444444"/>
          <w:sz w:val="19"/>
        </w:rPr>
        <w:t>Whitfield &amp; Nguyen | 18 March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