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Tilbrook Finance</w:t>
      </w:r>
    </w:p>
    <w:p>
      <w:r>
        <w:rPr>
          <w:i/>
          <w:color w:val="444444"/>
          <w:sz w:val="19"/>
        </w:rPr>
        <w:t>Whitfield &amp; Nguyen | PR/2026/0447 | 11 June 2026</w:t>
      </w:r>
    </w:p>
    <w:p>
      <w:r>
        <w:rPr>
          <w:b/>
        </w:rPr>
        <w:t xml:space="preserve">Attended by:  </w:t>
      </w:r>
      <w:r>
        <w:t>Dominic Cole</w:t>
      </w:r>
    </w:p>
    <w:p>
      <w:r>
        <w:rPr>
          <w:b/>
        </w:rPr>
        <w:t xml:space="preserve">Duration:  </w:t>
      </w:r>
      <w:r>
        <w:t>15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