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disclosure received from respondent</w:t>
      </w:r>
    </w:p>
    <w:p>
      <w:r>
        <w:rPr>
          <w:i/>
          <w:color w:val="444444"/>
          <w:sz w:val="19"/>
        </w:rPr>
        <w:t>Whitfield &amp; Nguyen | PR/2026/0447 | 1 July 2026</w:t>
      </w:r>
    </w:p>
    <w:p>
      <w:r>
        <w:rPr>
          <w:b/>
        </w:rPr>
        <w:t xml:space="preserve">Author:  </w:t>
      </w:r>
      <w:r>
        <w:t>Priya Raman</w:t>
      </w:r>
    </w:p>
    <w:p>
      <w:r>
        <w:t>All items on the disclosure index have now been received from Delaney Nash Legal.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