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property values agreed</w:t>
      </w:r>
    </w:p>
    <w:p>
      <w:r>
        <w:rPr>
          <w:i/>
          <w:color w:val="444444"/>
          <w:sz w:val="19"/>
        </w:rPr>
        <w:t>Whitfield &amp; Nguyen | PR/2026/0447 | 4 July 2026</w:t>
      </w:r>
    </w:p>
    <w:p>
      <w:r>
        <w:rPr>
          <w:b/>
        </w:rPr>
        <w:t xml:space="preserve">Author:  </w:t>
      </w:r>
      <w:r>
        <w:t>Priya Raman</w:t>
      </w:r>
    </w:p>
    <w:p>
      <w:r>
        <w:t>The parties agree the values of both properties and the business. Only the division is in dispute.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