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Conference note — Counsel conference</w:t>
      </w:r>
    </w:p>
    <w:p>
      <w:r>
        <w:rPr>
          <w:i/>
          <w:color w:val="444444"/>
          <w:sz w:val="19"/>
        </w:rPr>
        <w:t>Whitfield &amp; Nguyen | 6 July 2026</w:t>
      </w:r>
    </w:p>
    <w:p>
      <w:r>
        <w:rPr>
          <w:b/>
        </w:rPr>
        <w:t xml:space="preserve">Present:  </w:t>
      </w:r>
      <w:r>
        <w:t>Amara Jane Whitfield (client); Priya Raman (principal)</w:t>
      </w:r>
    </w:p>
    <w:p>
      <w:r>
        <w:rPr>
          <w:b/>
        </w:rPr>
        <w:t xml:space="preserve">Duration:  </w:t>
      </w:r>
      <w:r>
        <w:t>60 minutes</w:t>
      </w:r>
    </w:p>
    <w:p>
      <w:r>
        <w:t>Reviewed the status of the matter, the pre-action procedures and the orders to be sought. Confirmed the client seeks both parenting orders and financial or property orders including a superannuation splitting order.</w:t>
      </w:r>
    </w:p>
    <w:p>
      <w:r>
        <w:t>Confirmed the client's details remain: date of birth 22/07/1988; residential address 18 Kelburn Street, Coburg VIC 3058; occupation Nurse Unit Manager; email amara.whitfield88@gmail.com; mobile 0413 662 087; no interpreter required; not of Aboriginal or Torres Strait Islander origin.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