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Running file note - superannuation split calculation</w:t>
      </w:r>
    </w:p>
    <w:p>
      <w:r>
        <w:rPr>
          <w:i/>
          <w:color w:val="444444"/>
          <w:sz w:val="19"/>
        </w:rPr>
        <w:t>Whitfield &amp; Nguyen | PR/2026/0447 | 7 July 2026</w:t>
      </w:r>
    </w:p>
    <w:p>
      <w:r>
        <w:rPr>
          <w:b/>
        </w:rPr>
        <w:t xml:space="preserve">Author:  </w:t>
      </w:r>
      <w:r>
        <w:t>Priya Raman</w:t>
      </w:r>
    </w:p>
    <w:p>
      <w:r>
        <w:t>A base amount split of $57,840 from the respondent's Australian Retirement Trust interest equalises the parties' superannuation.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