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net pool calculation</w:t>
      </w:r>
    </w:p>
    <w:p>
      <w:r>
        <w:rPr>
          <w:i/>
          <w:color w:val="444444"/>
          <w:sz w:val="19"/>
        </w:rPr>
        <w:t>Whitfield &amp; Nguyen | PR/2026/0447 | 10 July 2026</w:t>
      </w:r>
    </w:p>
    <w:p>
      <w:r>
        <w:rPr>
          <w:b/>
        </w:rPr>
        <w:t xml:space="preserve">Author:  </w:t>
      </w:r>
      <w:r>
        <w:t>Priya Raman</w:t>
      </w:r>
    </w:p>
    <w:p>
      <w:r>
        <w:t>Net non-superannuation pool of $1,264,110 after allowing for all liabilities.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